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798B1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2D7A0A"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2E87CCB6" wp14:editId="2AC53A76">
            <wp:simplePos x="0" y="0"/>
            <wp:positionH relativeFrom="column">
              <wp:posOffset>1840230</wp:posOffset>
            </wp:positionH>
            <wp:positionV relativeFrom="paragraph">
              <wp:posOffset>635</wp:posOffset>
            </wp:positionV>
            <wp:extent cx="1610360" cy="1432560"/>
            <wp:effectExtent l="0" t="0" r="8890" b="0"/>
            <wp:wrapSquare wrapText="bothSides" distT="0" distB="0" distL="114300" distR="114300"/>
            <wp:docPr id="771" name="image1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432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9955F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0494138A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3FBE472F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  <w:r w:rsidRPr="002D7A0A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6B607A43" wp14:editId="6F3F3B6C">
                <wp:simplePos x="0" y="0"/>
                <wp:positionH relativeFrom="column">
                  <wp:posOffset>11686</wp:posOffset>
                </wp:positionH>
                <wp:positionV relativeFrom="paragraph">
                  <wp:posOffset>173431</wp:posOffset>
                </wp:positionV>
                <wp:extent cx="7122596" cy="2151959"/>
                <wp:effectExtent l="0" t="0" r="2540" b="1270"/>
                <wp:wrapNone/>
                <wp:docPr id="603" name="Grupo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2596" cy="2151959"/>
                          <a:chOff x="146434" y="3341013"/>
                          <a:chExt cx="10545223" cy="3160903"/>
                        </a:xfrm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146434" y="4587391"/>
                            <a:ext cx="7900520" cy="1914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AF7D16" w14:textId="237EA908" w:rsidR="005B6A75" w:rsidRPr="005977BA" w:rsidRDefault="005B6A75" w:rsidP="00EA0718">
                              <w:pPr>
                                <w:jc w:val="center"/>
                                <w:textDirection w:val="btLr"/>
                              </w:pPr>
                              <w:r w:rsidRPr="005977BA">
                                <w:rPr>
                                  <w:rFonts w:ascii="Limelight" w:eastAsia="Limelight" w:hAnsi="Limelight" w:cs="Limelight"/>
                                  <w:color w:val="FF0000"/>
                                  <w:sz w:val="40"/>
                                </w:rPr>
                                <w:t>INSTITUTO DE EDUCACIÓN SUPERIOR TECNOLÓGICO PÚBLICO</w:t>
                              </w:r>
                              <w:r w:rsidR="00EA0718">
                                <w:rPr>
                                  <w:rFonts w:ascii="Limelight" w:eastAsia="Limelight" w:hAnsi="Limelight" w:cs="Limelight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 w:rsidRPr="005977BA">
                                <w:rPr>
                                  <w:rFonts w:ascii="Limelight" w:eastAsia="Limelight" w:hAnsi="Limelight" w:cs="Limelight"/>
                                  <w:color w:val="FF0000"/>
                                  <w:sz w:val="40"/>
                                </w:rPr>
                                <w:t>“EL MILAGRO”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/>
                        <wps:spPr>
                          <a:xfrm>
                            <a:off x="6758168" y="3341013"/>
                            <a:ext cx="3933489" cy="688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527648" w14:textId="77777777" w:rsidR="005B6A75" w:rsidRDefault="005B6A75" w:rsidP="007B0AC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07A43" id="Grupo 603" o:spid="_x0000_s1026" style="position:absolute;margin-left:.9pt;margin-top:13.65pt;width:560.85pt;height:169.45pt;z-index:-251656192;mso-wrap-distance-left:0;mso-wrap-distance-right:0;mso-width-relative:margin;mso-height-relative:margin" coordorigin="1464,33410" coordsize="105452,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">
                <v:rect id="Rectángulo 1" o:spid="_x0000_s1027" style="position:absolute;left:1464;top:45873;width:79005;height:1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" stroked="f">
                  <v:textbox inset="2.53958mm,1.2694mm,2.53958mm,1.2694mm">
                    <w:txbxContent>
                      <w:p w14:paraId="4CAF7D16" w14:textId="237EA908" w:rsidR="005B6A75" w:rsidRPr="005977BA" w:rsidRDefault="005B6A75" w:rsidP="00EA0718">
                        <w:pPr>
                          <w:jc w:val="center"/>
                          <w:textDirection w:val="btLr"/>
                        </w:pPr>
                        <w:r w:rsidRPr="005977BA">
                          <w:rPr>
                            <w:rFonts w:ascii="Limelight" w:eastAsia="Limelight" w:hAnsi="Limelight" w:cs="Limelight"/>
                            <w:color w:val="FF0000"/>
                            <w:sz w:val="40"/>
                          </w:rPr>
                          <w:t>INSTITUTO DE EDUCACIÓN SUPERIOR TECNOLÓGICO PÚBLICO</w:t>
                        </w:r>
                        <w:r w:rsidR="00EA0718">
                          <w:rPr>
                            <w:rFonts w:ascii="Limelight" w:eastAsia="Limelight" w:hAnsi="Limelight" w:cs="Limelight"/>
                            <w:color w:val="FF0000"/>
                            <w:sz w:val="40"/>
                          </w:rPr>
                          <w:t xml:space="preserve"> </w:t>
                        </w:r>
                        <w:r w:rsidRPr="005977BA">
                          <w:rPr>
                            <w:rFonts w:ascii="Limelight" w:eastAsia="Limelight" w:hAnsi="Limelight" w:cs="Limelight"/>
                            <w:color w:val="FF0000"/>
                            <w:sz w:val="40"/>
                          </w:rPr>
                          <w:t>“EL MILAGRO”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67581;top:33410;width:39335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5D527648" w14:textId="77777777" w:rsidR="005B6A75" w:rsidRDefault="005B6A75" w:rsidP="007B0AC3">
                        <w:pPr>
                          <w:textDirection w:val="btL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1BDBCCE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6700DF6F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278892CC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3D74750D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37BB3E80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255998FB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794E9EE9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583346A8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422A782B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7250DAFE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22EE2628" w14:textId="77777777" w:rsidR="007B0AC3" w:rsidRPr="002D7A0A" w:rsidRDefault="007B0AC3" w:rsidP="007B0A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</w:rPr>
      </w:pPr>
    </w:p>
    <w:p w14:paraId="253A84F4" w14:textId="77777777" w:rsidR="007B0AC3" w:rsidRPr="002D7A0A" w:rsidRDefault="007B0AC3" w:rsidP="007B0AC3">
      <w:pPr>
        <w:spacing w:line="276" w:lineRule="auto"/>
        <w:rPr>
          <w:b/>
          <w:sz w:val="24"/>
          <w:szCs w:val="24"/>
        </w:rPr>
      </w:pPr>
    </w:p>
    <w:p w14:paraId="510B55DD" w14:textId="77777777" w:rsidR="007B0AC3" w:rsidRPr="002D7A0A" w:rsidRDefault="007B0AC3" w:rsidP="007B0AC3">
      <w:pPr>
        <w:spacing w:line="276" w:lineRule="auto"/>
        <w:rPr>
          <w:b/>
          <w:sz w:val="24"/>
          <w:szCs w:val="24"/>
        </w:rPr>
      </w:pPr>
    </w:p>
    <w:tbl>
      <w:tblPr>
        <w:tblpPr w:leftFromText="141" w:rightFromText="141" w:vertAnchor="page" w:horzAnchor="margin" w:tblpY="8319"/>
        <w:tblW w:w="8976" w:type="dxa"/>
        <w:tblLayout w:type="fixed"/>
        <w:tblLook w:val="0400" w:firstRow="0" w:lastRow="0" w:firstColumn="0" w:lastColumn="0" w:noHBand="0" w:noVBand="1"/>
      </w:tblPr>
      <w:tblGrid>
        <w:gridCol w:w="5254"/>
        <w:gridCol w:w="1690"/>
        <w:gridCol w:w="2032"/>
      </w:tblGrid>
      <w:tr w:rsidR="007B0AC3" w:rsidRPr="002D7A0A" w14:paraId="754F24AE" w14:textId="77777777" w:rsidTr="008E7485">
        <w:trPr>
          <w:trHeight w:val="1861"/>
        </w:trPr>
        <w:tc>
          <w:tcPr>
            <w:tcW w:w="5254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AE9D53B" w14:textId="3797A640" w:rsidR="007B0AC3" w:rsidRPr="002D7A0A" w:rsidRDefault="007B0AC3" w:rsidP="007B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403152"/>
                <w:sz w:val="68"/>
                <w:szCs w:val="68"/>
              </w:rPr>
            </w:pPr>
            <w:r>
              <w:rPr>
                <w:rFonts w:eastAsia="Garamond"/>
                <w:b/>
                <w:color w:val="403152"/>
                <w:sz w:val="68"/>
                <w:szCs w:val="68"/>
              </w:rPr>
              <w:t xml:space="preserve">PLAN </w:t>
            </w:r>
            <w:r w:rsidR="00EA0718">
              <w:rPr>
                <w:rFonts w:eastAsia="Garamond"/>
                <w:b/>
                <w:color w:val="403152"/>
                <w:sz w:val="68"/>
                <w:szCs w:val="68"/>
              </w:rPr>
              <w:t xml:space="preserve">ANUAL </w:t>
            </w:r>
            <w:r>
              <w:rPr>
                <w:rFonts w:eastAsia="Garamond"/>
                <w:b/>
                <w:color w:val="403152"/>
                <w:sz w:val="68"/>
                <w:szCs w:val="68"/>
              </w:rPr>
              <w:t>DE TRABAJO</w:t>
            </w:r>
          </w:p>
        </w:tc>
        <w:tc>
          <w:tcPr>
            <w:tcW w:w="3722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7A5F906" w14:textId="120BEA48" w:rsidR="007B0AC3" w:rsidRPr="002D7A0A" w:rsidRDefault="007B0AC3" w:rsidP="008E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althazar"/>
                <w:b/>
                <w:color w:val="4F81BD"/>
                <w:sz w:val="72"/>
                <w:szCs w:val="72"/>
              </w:rPr>
            </w:pPr>
            <w:r w:rsidRPr="002D7A0A">
              <w:rPr>
                <w:rFonts w:eastAsia="Balthazar"/>
                <w:b/>
                <w:color w:val="00B050"/>
                <w:sz w:val="72"/>
                <w:szCs w:val="72"/>
              </w:rPr>
              <w:t>2024</w:t>
            </w:r>
          </w:p>
        </w:tc>
      </w:tr>
      <w:tr w:rsidR="007B0AC3" w:rsidRPr="002D7A0A" w14:paraId="2247E092" w14:textId="77777777" w:rsidTr="008E7485">
        <w:trPr>
          <w:trHeight w:val="806"/>
        </w:trPr>
        <w:tc>
          <w:tcPr>
            <w:tcW w:w="6944" w:type="dxa"/>
            <w:gridSpan w:val="2"/>
            <w:tcBorders>
              <w:top w:val="single" w:sz="18" w:space="0" w:color="808080"/>
            </w:tcBorders>
            <w:vAlign w:val="center"/>
          </w:tcPr>
          <w:p w14:paraId="783F2EAE" w14:textId="77777777" w:rsidR="007B0AC3" w:rsidRPr="002D7A0A" w:rsidRDefault="007B0AC3" w:rsidP="008E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32" w:type="dxa"/>
            <w:tcBorders>
              <w:top w:val="single" w:sz="18" w:space="0" w:color="808080"/>
            </w:tcBorders>
            <w:vAlign w:val="center"/>
          </w:tcPr>
          <w:p w14:paraId="2AEEB2A3" w14:textId="77777777" w:rsidR="007B0AC3" w:rsidRPr="002D7A0A" w:rsidRDefault="007B0AC3" w:rsidP="008E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36"/>
                <w:szCs w:val="36"/>
              </w:rPr>
            </w:pPr>
          </w:p>
        </w:tc>
      </w:tr>
    </w:tbl>
    <w:p w14:paraId="3A7F1436" w14:textId="77777777" w:rsidR="007B0AC3" w:rsidRPr="002D7A0A" w:rsidRDefault="007B0AC3" w:rsidP="007B0AC3">
      <w:pPr>
        <w:spacing w:line="276" w:lineRule="auto"/>
        <w:rPr>
          <w:b/>
          <w:sz w:val="24"/>
          <w:szCs w:val="24"/>
        </w:rPr>
      </w:pPr>
    </w:p>
    <w:p w14:paraId="383726EC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36DCF444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5593A7F3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1C9EE78D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1725D0A3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20C1AA79" w14:textId="6E8B31B0" w:rsidR="007B0AC3" w:rsidRPr="002941A9" w:rsidRDefault="002941A9" w:rsidP="002941A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41A9">
        <w:rPr>
          <w:rFonts w:ascii="Arial" w:hAnsi="Arial" w:cs="Arial"/>
          <w:b/>
          <w:bCs/>
          <w:sz w:val="24"/>
          <w:szCs w:val="24"/>
        </w:rPr>
        <w:lastRenderedPageBreak/>
        <w:t>ÍNDICE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0653343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D21DA1" w14:textId="43AD66B5" w:rsidR="008E7485" w:rsidRDefault="008E7485">
          <w:pPr>
            <w:pStyle w:val="TtuloTDC"/>
          </w:pPr>
        </w:p>
        <w:p w14:paraId="51FD1BC7" w14:textId="7F1B773A" w:rsidR="00091855" w:rsidRDefault="008E748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806360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I.</w:t>
            </w:r>
            <w:r w:rsidR="00091855">
              <w:rPr>
                <w:rFonts w:eastAsiaTheme="minorEastAsia"/>
                <w:noProof/>
                <w:lang w:val="en-US"/>
              </w:rPr>
              <w:tab/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INTRODUCCIÓN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_Toc162806360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3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761F81B9" w14:textId="04A616EE" w:rsidR="00091855" w:rsidRDefault="00B2160E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361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II.</w:t>
            </w:r>
            <w:r w:rsidR="00091855">
              <w:rPr>
                <w:rFonts w:eastAsiaTheme="minorEastAsia"/>
                <w:noProof/>
                <w:lang w:val="en-US"/>
              </w:rPr>
              <w:tab/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BASE LEGAL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_Toc162806361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4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31C08DA5" w14:textId="345D3D40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362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III.</w:t>
            </w:r>
            <w:r w:rsidR="00A922B6">
              <w:rPr>
                <w:rFonts w:eastAsiaTheme="minorEastAsia"/>
                <w:noProof/>
                <w:lang w:val="en-US"/>
              </w:rPr>
              <w:t xml:space="preserve">    </w:t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VISIÓN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_Toc162806362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5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4306BB19" w14:textId="78039B23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363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IV.</w:t>
            </w:r>
            <w:r w:rsidR="00A922B6">
              <w:rPr>
                <w:rStyle w:val="Hipervnculo"/>
                <w:b/>
                <w:bCs/>
                <w:noProof/>
                <w:lang w:val="es-ES"/>
              </w:rPr>
              <w:t xml:space="preserve"> </w:t>
            </w:r>
            <w:r w:rsidR="00A922B6">
              <w:rPr>
                <w:rFonts w:eastAsiaTheme="minorEastAsia"/>
                <w:noProof/>
                <w:lang w:val="en-US"/>
              </w:rPr>
              <w:t xml:space="preserve">   </w:t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MISIÓN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_Toc162806363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5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744484D9" w14:textId="1E15703A" w:rsidR="00091855" w:rsidRDefault="00B2160E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364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V.</w:t>
            </w:r>
            <w:r w:rsidR="00091855">
              <w:rPr>
                <w:rFonts w:eastAsiaTheme="minorEastAsia"/>
                <w:noProof/>
                <w:lang w:val="en-US"/>
              </w:rPr>
              <w:tab/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IDENTIFICACIÓN DE LA INSTITUCIÓN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_Toc162806364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5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03A95FB6" w14:textId="3D637438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431" w:history="1">
            <w:r w:rsidR="00091855" w:rsidRPr="004E1841">
              <w:rPr>
                <w:rStyle w:val="Hipervnculo"/>
                <w:b/>
                <w:bCs/>
                <w:noProof/>
              </w:rPr>
              <w:t>VI.</w:t>
            </w:r>
            <w:r w:rsidR="00A922B6">
              <w:rPr>
                <w:rStyle w:val="Hipervnculo"/>
                <w:b/>
                <w:bCs/>
                <w:noProof/>
              </w:rPr>
              <w:t xml:space="preserve"> </w:t>
            </w:r>
            <w:r w:rsidR="00A922B6">
              <w:rPr>
                <w:rFonts w:eastAsiaTheme="minorEastAsia"/>
                <w:noProof/>
                <w:lang w:val="en-US"/>
              </w:rPr>
              <w:t xml:space="preserve">   </w:t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ANÁLISIS FODA DEL IES Público “El Milagro”: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_Toc162806431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6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13C98BBB" w14:textId="2B6E4E67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432" w:history="1">
            <w:r w:rsidR="00091855" w:rsidRPr="004E1841">
              <w:rPr>
                <w:rStyle w:val="Hipervnculo"/>
                <w:b/>
                <w:bCs/>
                <w:noProof/>
              </w:rPr>
              <w:t>VII.</w:t>
            </w:r>
            <w:r w:rsidR="00A922B6">
              <w:rPr>
                <w:rFonts w:eastAsiaTheme="minorEastAsia"/>
                <w:noProof/>
                <w:lang w:val="en-US"/>
              </w:rPr>
              <w:t xml:space="preserve">   </w:t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OBJETIVOS INSTITUCIONALES: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_Toc162806432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6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36024AC5" w14:textId="41C298E3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434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VIII.</w:t>
            </w:r>
            <w:r w:rsidR="00A922B6">
              <w:rPr>
                <w:rFonts w:eastAsiaTheme="minorEastAsia"/>
                <w:noProof/>
                <w:lang w:val="en-US"/>
              </w:rPr>
              <w:t xml:space="preserve">  </w:t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OBJETIVOS DEL PLAN ANUAL DE TRABAJO – PAT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_Toc162806434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7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10FB2622" w14:textId="31964448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435" w:history="1">
            <w:r w:rsidR="00091855" w:rsidRPr="004E1841">
              <w:rPr>
                <w:rStyle w:val="Hipervnculo"/>
                <w:rFonts w:cs="Arial"/>
                <w:noProof/>
              </w:rPr>
              <w:t>8.1</w:t>
            </w:r>
            <w:r w:rsidR="00091855">
              <w:rPr>
                <w:rFonts w:eastAsiaTheme="minorEastAsia"/>
                <w:noProof/>
                <w:lang w:val="en-US"/>
              </w:rPr>
              <w:tab/>
            </w:r>
            <w:r w:rsidR="00091855" w:rsidRPr="004E1841">
              <w:rPr>
                <w:rStyle w:val="Hipervnculo"/>
                <w:rFonts w:cs="Arial"/>
                <w:noProof/>
              </w:rPr>
              <w:t>Objetivo General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_Toc162806435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7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0DF2B388" w14:textId="69D7F2F0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436" w:history="1">
            <w:r w:rsidR="00091855" w:rsidRPr="004E1841">
              <w:rPr>
                <w:rStyle w:val="Hipervnculo"/>
                <w:rFonts w:cs="Arial"/>
                <w:noProof/>
              </w:rPr>
              <w:t>8.2</w:t>
            </w:r>
            <w:r w:rsidR="00091855">
              <w:rPr>
                <w:rFonts w:eastAsiaTheme="minorEastAsia"/>
                <w:noProof/>
                <w:lang w:val="en-US"/>
              </w:rPr>
              <w:tab/>
            </w:r>
            <w:r w:rsidR="00091855" w:rsidRPr="004E1841">
              <w:rPr>
                <w:rStyle w:val="Hipervnculo"/>
                <w:rFonts w:cs="Arial"/>
                <w:noProof/>
              </w:rPr>
              <w:t>Objetivo Específicos: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_Toc162806436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7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32DE1F54" w14:textId="617023A4" w:rsidR="00091855" w:rsidRDefault="00B2160E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162806437" w:history="1"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IX.</w:t>
            </w:r>
            <w:r w:rsidR="00A922B6">
              <w:rPr>
                <w:rFonts w:eastAsiaTheme="minorEastAsia"/>
                <w:noProof/>
                <w:lang w:val="en-US"/>
              </w:rPr>
              <w:t xml:space="preserve">     </w:t>
            </w:r>
            <w:r w:rsidR="00091855" w:rsidRPr="004E1841">
              <w:rPr>
                <w:rStyle w:val="Hipervnculo"/>
                <w:b/>
                <w:bCs/>
                <w:noProof/>
                <w:lang w:val="es-ES"/>
              </w:rPr>
              <w:t>PLAN DE TRABAJO 2024 DE LA INSTITUCIÓN:</w:t>
            </w:r>
            <w:r w:rsidR="00091855">
              <w:rPr>
                <w:noProof/>
                <w:webHidden/>
              </w:rPr>
              <w:tab/>
            </w:r>
            <w:r w:rsidR="00091855">
              <w:rPr>
                <w:noProof/>
                <w:webHidden/>
              </w:rPr>
              <w:fldChar w:fldCharType="begin"/>
            </w:r>
            <w:r w:rsidR="00091855">
              <w:rPr>
                <w:noProof/>
                <w:webHidden/>
              </w:rPr>
              <w:instrText xml:space="preserve"> PAGEREF _Toc162806437 \h </w:instrText>
            </w:r>
            <w:r w:rsidR="00091855">
              <w:rPr>
                <w:noProof/>
                <w:webHidden/>
              </w:rPr>
            </w:r>
            <w:r w:rsidR="00091855">
              <w:rPr>
                <w:noProof/>
                <w:webHidden/>
              </w:rPr>
              <w:fldChar w:fldCharType="separate"/>
            </w:r>
            <w:r w:rsidR="00A922B6">
              <w:rPr>
                <w:noProof/>
                <w:webHidden/>
              </w:rPr>
              <w:t>8</w:t>
            </w:r>
            <w:r w:rsidR="00091855">
              <w:rPr>
                <w:noProof/>
                <w:webHidden/>
              </w:rPr>
              <w:fldChar w:fldCharType="end"/>
            </w:r>
          </w:hyperlink>
        </w:p>
        <w:p w14:paraId="2EC75313" w14:textId="6059A602" w:rsidR="008E7485" w:rsidRDefault="008E7485">
          <w:r>
            <w:rPr>
              <w:b/>
              <w:bCs/>
              <w:lang w:val="es-ES"/>
            </w:rPr>
            <w:fldChar w:fldCharType="end"/>
          </w:r>
        </w:p>
      </w:sdtContent>
    </w:sdt>
    <w:p w14:paraId="40B5B2B5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15959FED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2824F63B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2D06F294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7E94D3A1" w14:textId="77777777" w:rsidR="007B0AC3" w:rsidRPr="002D7A0A" w:rsidRDefault="007B0AC3" w:rsidP="007B0AC3">
      <w:pPr>
        <w:spacing w:line="276" w:lineRule="auto"/>
        <w:rPr>
          <w:sz w:val="24"/>
          <w:szCs w:val="24"/>
        </w:rPr>
      </w:pPr>
    </w:p>
    <w:p w14:paraId="6AC01A7D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66C51EB3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3337AB72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79B8F5E6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47BE6F51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6FC14C84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65A158D7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79DA17BA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3ECD42CA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638821E9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7889E260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5CBE6AF1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10199950" w14:textId="77777777" w:rsidR="00FC5DFE" w:rsidRPr="00151406" w:rsidRDefault="00FC5DFE">
      <w:pPr>
        <w:rPr>
          <w:rFonts w:ascii="Arial" w:hAnsi="Arial" w:cs="Arial"/>
          <w:sz w:val="24"/>
          <w:szCs w:val="24"/>
          <w:lang w:val="es-ES"/>
        </w:rPr>
      </w:pPr>
    </w:p>
    <w:p w14:paraId="4F3A7C9D" w14:textId="65B56B19" w:rsidR="00FC5DFE" w:rsidRPr="008E7485" w:rsidRDefault="00FC5DFE" w:rsidP="008E7485">
      <w:pPr>
        <w:pStyle w:val="Ttulo1"/>
        <w:numPr>
          <w:ilvl w:val="0"/>
          <w:numId w:val="8"/>
        </w:numPr>
        <w:rPr>
          <w:b/>
          <w:bCs/>
          <w:lang w:val="es-ES"/>
        </w:rPr>
      </w:pPr>
      <w:bookmarkStart w:id="0" w:name="_Toc162806360"/>
      <w:r w:rsidRPr="008E7485">
        <w:rPr>
          <w:b/>
          <w:bCs/>
          <w:lang w:val="es-ES"/>
        </w:rPr>
        <w:lastRenderedPageBreak/>
        <w:t>INTRODUCCIÓN</w:t>
      </w:r>
      <w:bookmarkEnd w:id="0"/>
    </w:p>
    <w:p w14:paraId="7BDA9105" w14:textId="77777777" w:rsidR="008E7485" w:rsidRPr="008E7485" w:rsidRDefault="008E7485" w:rsidP="008E7485">
      <w:pPr>
        <w:rPr>
          <w:lang w:val="es-ES"/>
        </w:rPr>
      </w:pPr>
    </w:p>
    <w:p w14:paraId="11CB82D5" w14:textId="12D4B043" w:rsidR="00FC5DFE" w:rsidRPr="00151406" w:rsidRDefault="00FC5DFE" w:rsidP="00FC5DFE">
      <w:pPr>
        <w:jc w:val="both"/>
        <w:rPr>
          <w:rFonts w:ascii="Arial" w:hAnsi="Arial" w:cs="Arial"/>
          <w:sz w:val="24"/>
          <w:szCs w:val="24"/>
        </w:rPr>
      </w:pPr>
      <w:r w:rsidRPr="00151406">
        <w:rPr>
          <w:rFonts w:ascii="Arial" w:hAnsi="Arial" w:cs="Arial"/>
          <w:sz w:val="24"/>
          <w:szCs w:val="24"/>
        </w:rPr>
        <w:t>El Plan Anual de Trabajo del Instituto de Educación Superior "El Milagro" en Iquitos, donde la excelencia educativa se encuentra arraigada en la esencia de nuestra institución</w:t>
      </w:r>
      <w:r w:rsidR="00E83E55">
        <w:rPr>
          <w:rFonts w:ascii="Arial" w:hAnsi="Arial" w:cs="Arial"/>
          <w:sz w:val="24"/>
          <w:szCs w:val="24"/>
        </w:rPr>
        <w:t xml:space="preserve">, </w:t>
      </w:r>
      <w:r w:rsidRPr="00151406">
        <w:rPr>
          <w:rFonts w:ascii="Arial" w:hAnsi="Arial" w:cs="Arial"/>
          <w:sz w:val="24"/>
          <w:szCs w:val="24"/>
        </w:rPr>
        <w:t>representa un compromiso apasionado y decidido para proporcionar una educación de calidad, que trasciende las aulas y se adentra en el corazón y el alma de nuestros estudiantes.</w:t>
      </w:r>
    </w:p>
    <w:p w14:paraId="4766D927" w14:textId="77777777" w:rsidR="00FC5DFE" w:rsidRPr="00151406" w:rsidRDefault="00FC5DFE" w:rsidP="00FC5DFE">
      <w:pPr>
        <w:jc w:val="both"/>
        <w:rPr>
          <w:rFonts w:ascii="Arial" w:hAnsi="Arial" w:cs="Arial"/>
          <w:sz w:val="24"/>
          <w:szCs w:val="24"/>
        </w:rPr>
      </w:pPr>
      <w:r w:rsidRPr="00151406">
        <w:rPr>
          <w:rFonts w:ascii="Arial" w:hAnsi="Arial" w:cs="Arial"/>
          <w:sz w:val="24"/>
          <w:szCs w:val="24"/>
        </w:rPr>
        <w:t>Nuestro instituto, guiado por los valores de Fe y Alegría, se erige como un faro de esperanza en la comunidad de Iquitos. En este año, nos embarcamos en una travesía educativa destinada a empoderar a nuestros estudiantes, cultivar emprendedores y líderes responsables y fomentar un entorno de aprendizaje inclusivo y enriquecedor. Creemos firmemente en el poder transformador de la educación y en la capacidad de cada individuo para alcanzar su máximo potencial cuando se le brinda un entorno y apoyo.</w:t>
      </w:r>
    </w:p>
    <w:p w14:paraId="4FA59AB6" w14:textId="047AC875" w:rsidR="00FC5DFE" w:rsidRP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  <w:r w:rsidRPr="00151406">
        <w:rPr>
          <w:rFonts w:ascii="Arial" w:hAnsi="Arial" w:cs="Arial"/>
          <w:sz w:val="24"/>
          <w:szCs w:val="24"/>
        </w:rPr>
        <w:t>Con este Plan A</w:t>
      </w:r>
      <w:r w:rsidR="00FC5DFE" w:rsidRPr="00151406">
        <w:rPr>
          <w:rFonts w:ascii="Arial" w:hAnsi="Arial" w:cs="Arial"/>
          <w:sz w:val="24"/>
          <w:szCs w:val="24"/>
        </w:rPr>
        <w:t xml:space="preserve">nual </w:t>
      </w:r>
      <w:r w:rsidRPr="00151406">
        <w:rPr>
          <w:rFonts w:ascii="Arial" w:hAnsi="Arial" w:cs="Arial"/>
          <w:sz w:val="24"/>
          <w:szCs w:val="24"/>
        </w:rPr>
        <w:t xml:space="preserve">de Trabajo, </w:t>
      </w:r>
      <w:r w:rsidR="00FC5DFE" w:rsidRPr="00151406">
        <w:rPr>
          <w:rFonts w:ascii="Arial" w:hAnsi="Arial" w:cs="Arial"/>
          <w:sz w:val="24"/>
          <w:szCs w:val="24"/>
        </w:rPr>
        <w:t>se</w:t>
      </w:r>
      <w:r w:rsidRPr="00151406">
        <w:rPr>
          <w:rFonts w:ascii="Arial" w:hAnsi="Arial" w:cs="Arial"/>
          <w:sz w:val="24"/>
          <w:szCs w:val="24"/>
        </w:rPr>
        <w:t xml:space="preserve"> </w:t>
      </w:r>
      <w:r w:rsidR="00E83E55">
        <w:rPr>
          <w:rFonts w:ascii="Arial" w:hAnsi="Arial" w:cs="Arial"/>
          <w:sz w:val="24"/>
          <w:szCs w:val="24"/>
        </w:rPr>
        <w:t xml:space="preserve">implementarán las acciones </w:t>
      </w:r>
      <w:r w:rsidRPr="00151406">
        <w:rPr>
          <w:rFonts w:ascii="Arial" w:hAnsi="Arial" w:cs="Arial"/>
          <w:sz w:val="24"/>
          <w:szCs w:val="24"/>
        </w:rPr>
        <w:t xml:space="preserve"> que mejor nos lleven a alcanzar los objetivos estratégicos y las políticas educativas del IES Público “El Milagro”, con el propósito de anticipar el direccionamiento futuro de la institución. Donde que exista </w:t>
      </w:r>
      <w:r w:rsidR="00FC5DFE" w:rsidRPr="00151406">
        <w:rPr>
          <w:rFonts w:ascii="Arial" w:hAnsi="Arial" w:cs="Arial"/>
          <w:sz w:val="24"/>
          <w:szCs w:val="24"/>
        </w:rPr>
        <w:t>una colabo</w:t>
      </w:r>
      <w:r w:rsidR="00F81E2C" w:rsidRPr="00151406">
        <w:rPr>
          <w:rFonts w:ascii="Arial" w:hAnsi="Arial" w:cs="Arial"/>
          <w:sz w:val="24"/>
          <w:szCs w:val="24"/>
        </w:rPr>
        <w:t xml:space="preserve">ración estrecha entre docentes y </w:t>
      </w:r>
      <w:r w:rsidR="00FC5DFE" w:rsidRPr="00151406">
        <w:rPr>
          <w:rFonts w:ascii="Arial" w:hAnsi="Arial" w:cs="Arial"/>
          <w:sz w:val="24"/>
          <w:szCs w:val="24"/>
        </w:rPr>
        <w:t>estudiantes, aspiramos a crear un ambiente donde el amor por el conocimiento</w:t>
      </w:r>
      <w:r w:rsidRPr="00151406">
        <w:rPr>
          <w:rFonts w:ascii="Arial" w:hAnsi="Arial" w:cs="Arial"/>
          <w:sz w:val="24"/>
          <w:szCs w:val="24"/>
        </w:rPr>
        <w:t xml:space="preserve"> y la innovación</w:t>
      </w:r>
      <w:r w:rsidR="00FC5DFE" w:rsidRPr="00151406">
        <w:rPr>
          <w:rFonts w:ascii="Arial" w:hAnsi="Arial" w:cs="Arial"/>
          <w:sz w:val="24"/>
          <w:szCs w:val="24"/>
        </w:rPr>
        <w:t xml:space="preserve"> florezca y se traduzca en logros significativos.</w:t>
      </w:r>
    </w:p>
    <w:p w14:paraId="1F2D2763" w14:textId="77777777" w:rsidR="00FC5DFE" w:rsidRPr="00151406" w:rsidRDefault="00FC5DFE" w:rsidP="00FC5DFE">
      <w:pPr>
        <w:jc w:val="both"/>
        <w:rPr>
          <w:rFonts w:ascii="Arial" w:hAnsi="Arial" w:cs="Arial"/>
          <w:sz w:val="24"/>
          <w:szCs w:val="24"/>
        </w:rPr>
      </w:pPr>
      <w:r w:rsidRPr="00151406">
        <w:rPr>
          <w:rFonts w:ascii="Arial" w:hAnsi="Arial" w:cs="Arial"/>
          <w:sz w:val="24"/>
          <w:szCs w:val="24"/>
        </w:rPr>
        <w:t xml:space="preserve">Además, nos comprometemos a fortalecer nuestras alianzas con la comunidad local y otras instituciones </w:t>
      </w:r>
      <w:r w:rsidR="00F81E2C" w:rsidRPr="00151406">
        <w:rPr>
          <w:rFonts w:ascii="Arial" w:hAnsi="Arial" w:cs="Arial"/>
          <w:sz w:val="24"/>
          <w:szCs w:val="24"/>
        </w:rPr>
        <w:t xml:space="preserve">públicas y privadas </w:t>
      </w:r>
      <w:r w:rsidRPr="00151406">
        <w:rPr>
          <w:rFonts w:ascii="Arial" w:hAnsi="Arial" w:cs="Arial"/>
          <w:sz w:val="24"/>
          <w:szCs w:val="24"/>
        </w:rPr>
        <w:t>para enriquecer las experiencias de aprendizaje de nuestros estudiantes. Estamos decididos a crear oportunidades para que los jóvenes desarrollen habilidades prácticas, valores éticos sólidos y una comprensión profunda de su papel como ciudadanos responsables en una sociedad globalizada.</w:t>
      </w:r>
    </w:p>
    <w:p w14:paraId="224CD0B1" w14:textId="798D49C5" w:rsidR="00FC5DFE" w:rsidRDefault="00FC5DFE" w:rsidP="00FC5DFE">
      <w:pPr>
        <w:jc w:val="both"/>
        <w:rPr>
          <w:rFonts w:ascii="Arial" w:hAnsi="Arial" w:cs="Arial"/>
          <w:sz w:val="24"/>
          <w:szCs w:val="24"/>
        </w:rPr>
      </w:pPr>
      <w:r w:rsidRPr="00151406">
        <w:rPr>
          <w:rFonts w:ascii="Arial" w:hAnsi="Arial" w:cs="Arial"/>
          <w:sz w:val="24"/>
          <w:szCs w:val="24"/>
        </w:rPr>
        <w:t>Este plan anual de trabajo es el resultado de una dedicación inquebrantable por parte</w:t>
      </w:r>
      <w:r w:rsidR="00F81E2C" w:rsidRPr="00151406">
        <w:rPr>
          <w:rFonts w:ascii="Arial" w:hAnsi="Arial" w:cs="Arial"/>
          <w:sz w:val="24"/>
          <w:szCs w:val="24"/>
        </w:rPr>
        <w:t xml:space="preserve"> de nuestro equipo educativo</w:t>
      </w:r>
      <w:r w:rsidRPr="00151406">
        <w:rPr>
          <w:rFonts w:ascii="Arial" w:hAnsi="Arial" w:cs="Arial"/>
          <w:sz w:val="24"/>
          <w:szCs w:val="24"/>
        </w:rPr>
        <w:t>, quienes creen en la misión de</w:t>
      </w:r>
      <w:r w:rsidR="00F81E2C" w:rsidRPr="00151406">
        <w:rPr>
          <w:rFonts w:ascii="Arial" w:hAnsi="Arial" w:cs="Arial"/>
          <w:sz w:val="24"/>
          <w:szCs w:val="24"/>
        </w:rPr>
        <w:t xml:space="preserve"> I</w:t>
      </w:r>
      <w:r w:rsidR="0024623A">
        <w:rPr>
          <w:rFonts w:ascii="Arial" w:hAnsi="Arial" w:cs="Arial"/>
          <w:sz w:val="24"/>
          <w:szCs w:val="24"/>
        </w:rPr>
        <w:t>ES</w:t>
      </w:r>
      <w:r w:rsidR="00F81E2C" w:rsidRPr="00151406">
        <w:rPr>
          <w:rFonts w:ascii="Arial" w:hAnsi="Arial" w:cs="Arial"/>
          <w:sz w:val="24"/>
          <w:szCs w:val="24"/>
        </w:rPr>
        <w:t xml:space="preserve"> Público</w:t>
      </w:r>
      <w:r w:rsidRPr="00151406">
        <w:rPr>
          <w:rFonts w:ascii="Arial" w:hAnsi="Arial" w:cs="Arial"/>
          <w:sz w:val="24"/>
          <w:szCs w:val="24"/>
        </w:rPr>
        <w:t xml:space="preserve"> "El Milagro". Estamos emocionados por el viaje que tenemos por delante y confiamos en que, juntos, alcanzaremos nuevas alturas de excelencia y contribuiremos significativamente al futuro brillante de nuestros estudiantes y de la comunidad en su conjunto.</w:t>
      </w:r>
    </w:p>
    <w:p w14:paraId="77EED3F7" w14:textId="77777777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20469761" w14:textId="77777777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4F2A2666" w14:textId="77777777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1F0FFFCF" w14:textId="77777777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43D55921" w14:textId="77777777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6AC911EA" w14:textId="0AFA5F16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421E829E" w14:textId="77777777" w:rsidR="008E7485" w:rsidRDefault="008E7485" w:rsidP="00FC5DFE">
      <w:pPr>
        <w:jc w:val="both"/>
        <w:rPr>
          <w:rFonts w:ascii="Arial" w:hAnsi="Arial" w:cs="Arial"/>
          <w:sz w:val="24"/>
          <w:szCs w:val="24"/>
        </w:rPr>
      </w:pPr>
    </w:p>
    <w:p w14:paraId="3EC1306C" w14:textId="77777777" w:rsidR="00151406" w:rsidRDefault="00151406" w:rsidP="00FC5DFE">
      <w:pPr>
        <w:jc w:val="both"/>
        <w:rPr>
          <w:rFonts w:ascii="Arial" w:hAnsi="Arial" w:cs="Arial"/>
          <w:sz w:val="24"/>
          <w:szCs w:val="24"/>
        </w:rPr>
      </w:pPr>
    </w:p>
    <w:p w14:paraId="146B872A" w14:textId="2A963955" w:rsidR="00151406" w:rsidRPr="008E7485" w:rsidRDefault="00151406" w:rsidP="008E7485">
      <w:pPr>
        <w:pStyle w:val="Ttulo1"/>
        <w:numPr>
          <w:ilvl w:val="0"/>
          <w:numId w:val="8"/>
        </w:numPr>
        <w:rPr>
          <w:b/>
          <w:bCs/>
          <w:lang w:val="es-ES"/>
        </w:rPr>
      </w:pPr>
      <w:bookmarkStart w:id="1" w:name="_Toc162806361"/>
      <w:r w:rsidRPr="008E7485">
        <w:rPr>
          <w:b/>
          <w:bCs/>
          <w:lang w:val="es-ES"/>
        </w:rPr>
        <w:lastRenderedPageBreak/>
        <w:t>BASE LEGAL</w:t>
      </w:r>
      <w:bookmarkEnd w:id="1"/>
    </w:p>
    <w:p w14:paraId="60222DBF" w14:textId="77777777" w:rsidR="008E7485" w:rsidRPr="008E7485" w:rsidRDefault="008E7485" w:rsidP="008E7485">
      <w:pPr>
        <w:rPr>
          <w:lang w:val="es-ES"/>
        </w:rPr>
      </w:pPr>
    </w:p>
    <w:p w14:paraId="7C2D0742" w14:textId="77777777" w:rsidR="00151406" w:rsidRPr="00151406" w:rsidRDefault="00151406" w:rsidP="0015140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406">
        <w:rPr>
          <w:rFonts w:ascii="Arial" w:eastAsia="Arial Narrow" w:hAnsi="Arial" w:cs="Arial"/>
          <w:color w:val="000000"/>
          <w:sz w:val="24"/>
          <w:szCs w:val="24"/>
        </w:rPr>
        <w:t>El Instituto de Educación Superior Público “El Milagro”, se desenvolverá bajo el amparo de las siguientes disposiciones legales vigentes en nuestro país:</w:t>
      </w:r>
    </w:p>
    <w:p w14:paraId="667C673C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Constitución Política del Perú.</w:t>
      </w:r>
    </w:p>
    <w:p w14:paraId="4D91572A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Ley N° 28044 – Ley General de Educación.</w:t>
      </w:r>
    </w:p>
    <w:p w14:paraId="5BC9D573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Ley N° 30512, Ley de Institutos y Escuelas de Educación Superior y de la Carrera Pública de sus Docentes.</w:t>
      </w:r>
    </w:p>
    <w:p w14:paraId="690E8BE5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Decreto de Urgencia Nº 017-2020, Decreto de Urgencia que establece medidas para el fortalecimiento de la gestión y el licenciamiento de los institutos y escuelas de educación superior, en el marco de la Ley Nº 30512.</w:t>
      </w:r>
    </w:p>
    <w:p w14:paraId="6E19B857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 xml:space="preserve">Decreto Legislativo N° 1495 que establece disposiciones para garantizar la continuidad y calidad de la prestación del servicio educativo en los Institutos y Escuelas de Educación Superior, en el marco de la Emergencia Sanitaria causada por el COVID-19. </w:t>
      </w:r>
    </w:p>
    <w:p w14:paraId="6BC1CDE0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Ley N° 28518, Ley de Modalidades Formativas Laborales.</w:t>
      </w:r>
    </w:p>
    <w:p w14:paraId="0503F65A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Ley N° 29973, Ley General de la Persona con Discapacidad.</w:t>
      </w:r>
    </w:p>
    <w:p w14:paraId="040E846F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Ley Nº 30901, Ley que implementa un subregistro de condenas y establece la inhabilitación definitiva para desempeñar actividad, profesión, ocupación u oficio que implique el cuidado, vigilancia o atención de niñas, niños o adolescentes.</w:t>
      </w:r>
    </w:p>
    <w:p w14:paraId="3BFB5078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Decreto Legislativo N° 1401, Decreto Legislativo, Régimen Especial que regula las Modalidades Formativas Laborales para el sector público.</w:t>
      </w:r>
    </w:p>
    <w:p w14:paraId="334AE3A3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Reglamento de la Ley N° 30512, aprobado por Decreto Supremo N° 010-2017-MINEDU, modificado por los Decreto Supremo N° 011-2019-MINEDU y Decreto Supremo N° 016-2021-MINEDU.</w:t>
      </w:r>
    </w:p>
    <w:p w14:paraId="5B0BA819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="Arial" w:hAnsi="Arial" w:cs="Arial"/>
          <w:color w:val="000000"/>
          <w:sz w:val="24"/>
          <w:szCs w:val="24"/>
        </w:rPr>
        <w:t>Proyecto Educativo Nacional - PEN al 2036: El Reto de la Ciudadanía Plena</w:t>
      </w:r>
      <w:r w:rsidRPr="00151406">
        <w:rPr>
          <w:rFonts w:ascii="Arial" w:eastAsiaTheme="minorHAnsi" w:hAnsi="Arial" w:cs="Arial"/>
          <w:sz w:val="24"/>
          <w:szCs w:val="24"/>
          <w:lang w:eastAsia="en-US"/>
        </w:rPr>
        <w:t xml:space="preserve"> aprobados por Decreto Supremo </w:t>
      </w:r>
      <w:r w:rsidRPr="00151406">
        <w:rPr>
          <w:rFonts w:ascii="Arial" w:eastAsia="Arial" w:hAnsi="Arial" w:cs="Arial"/>
          <w:color w:val="000000"/>
          <w:sz w:val="24"/>
          <w:szCs w:val="24"/>
        </w:rPr>
        <w:t>N° 009-2020-ED.</w:t>
      </w:r>
    </w:p>
    <w:p w14:paraId="693CB6A6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Lineamientos Académicos Generales para los Institutos de Educación Superior y las Escuelas de Educación Superior Tecnológica, aprobados por Resolución Viceministerial N° 178-2018-MINEDU, modificado con Resolución Viceministerial N° 277-2019-MINEDU (en adelante LAG) y actualizado con Resolución Viceministerial Nº 049-2022-MINEDU.</w:t>
      </w:r>
    </w:p>
    <w:p w14:paraId="5937E9E7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Catálogo Nacional de la Oferta Formativa de la Educación Superior Tecnológica y Técnico – Productiva”, aprobado mediante Resolución Viceministerial Nº 049-2022-MINEDU.</w:t>
      </w:r>
    </w:p>
    <w:p w14:paraId="51151676" w14:textId="77777777" w:rsidR="00151406" w:rsidRPr="00151406" w:rsidRDefault="00151406" w:rsidP="00151406">
      <w:pPr>
        <w:pStyle w:val="Sinespaciado"/>
        <w:numPr>
          <w:ilvl w:val="0"/>
          <w:numId w:val="3"/>
        </w:numPr>
        <w:ind w:left="709" w:hanging="425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51406">
        <w:rPr>
          <w:rFonts w:ascii="Arial" w:eastAsiaTheme="minorHAnsi" w:hAnsi="Arial" w:cs="Arial"/>
          <w:sz w:val="24"/>
          <w:szCs w:val="24"/>
          <w:lang w:eastAsia="en-US"/>
        </w:rPr>
        <w:t>Condiciones Básicas de Calidad para los Institutos de Educación Superior y las Escuelas de Educación Superior Tecnológica, aprobadas mediante Resolución Viceministerial N° 103-2022-MINEDU.</w:t>
      </w:r>
    </w:p>
    <w:p w14:paraId="310B9B03" w14:textId="77777777" w:rsidR="00151406" w:rsidRPr="00151406" w:rsidRDefault="00151406" w:rsidP="00151406">
      <w:pPr>
        <w:pStyle w:val="Sinespaciad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5469C61" w14:textId="77777777" w:rsidR="00151406" w:rsidRDefault="00151406" w:rsidP="00151406">
      <w:pPr>
        <w:jc w:val="both"/>
        <w:rPr>
          <w:rFonts w:ascii="Arial" w:hAnsi="Arial" w:cs="Arial"/>
          <w:sz w:val="24"/>
          <w:szCs w:val="24"/>
        </w:rPr>
      </w:pPr>
    </w:p>
    <w:p w14:paraId="20EA0A5C" w14:textId="77777777" w:rsidR="00151406" w:rsidRDefault="00151406" w:rsidP="00151406">
      <w:pPr>
        <w:jc w:val="both"/>
        <w:rPr>
          <w:rFonts w:ascii="Arial" w:hAnsi="Arial" w:cs="Arial"/>
          <w:sz w:val="24"/>
          <w:szCs w:val="24"/>
        </w:rPr>
      </w:pPr>
    </w:p>
    <w:p w14:paraId="4D9C2C16" w14:textId="77777777" w:rsidR="00151406" w:rsidRDefault="00151406" w:rsidP="00151406">
      <w:pPr>
        <w:jc w:val="both"/>
        <w:rPr>
          <w:rFonts w:ascii="Arial" w:hAnsi="Arial" w:cs="Arial"/>
          <w:sz w:val="24"/>
          <w:szCs w:val="24"/>
        </w:rPr>
      </w:pPr>
    </w:p>
    <w:p w14:paraId="7B541876" w14:textId="77777777" w:rsidR="00151406" w:rsidRDefault="00151406" w:rsidP="00151406">
      <w:pPr>
        <w:jc w:val="both"/>
        <w:rPr>
          <w:rFonts w:ascii="Arial" w:hAnsi="Arial" w:cs="Arial"/>
          <w:sz w:val="24"/>
          <w:szCs w:val="24"/>
        </w:rPr>
      </w:pPr>
    </w:p>
    <w:p w14:paraId="643B6A37" w14:textId="77777777" w:rsidR="00151406" w:rsidRPr="00151406" w:rsidRDefault="00151406" w:rsidP="00151406">
      <w:pPr>
        <w:jc w:val="both"/>
        <w:rPr>
          <w:rFonts w:ascii="Arial" w:hAnsi="Arial" w:cs="Arial"/>
          <w:sz w:val="24"/>
          <w:szCs w:val="24"/>
        </w:rPr>
      </w:pPr>
    </w:p>
    <w:p w14:paraId="3B8F0349" w14:textId="77777777" w:rsidR="00151406" w:rsidRPr="008E7485" w:rsidRDefault="00151406" w:rsidP="008E7485">
      <w:pPr>
        <w:pStyle w:val="Ttulo1"/>
        <w:numPr>
          <w:ilvl w:val="0"/>
          <w:numId w:val="8"/>
        </w:numPr>
        <w:rPr>
          <w:b/>
          <w:bCs/>
          <w:lang w:val="es-ES"/>
        </w:rPr>
      </w:pPr>
      <w:bookmarkStart w:id="2" w:name="_Toc162806362"/>
      <w:r w:rsidRPr="008E7485">
        <w:rPr>
          <w:b/>
          <w:bCs/>
          <w:lang w:val="es-ES"/>
        </w:rPr>
        <w:lastRenderedPageBreak/>
        <w:t>VISIÓN</w:t>
      </w:r>
      <w:bookmarkEnd w:id="2"/>
    </w:p>
    <w:p w14:paraId="787DE15B" w14:textId="77777777" w:rsidR="00EA432B" w:rsidRDefault="00EA432B" w:rsidP="00EA432B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103B5819" w14:textId="53315F1A" w:rsidR="00151406" w:rsidRPr="0024623A" w:rsidRDefault="00EA432B" w:rsidP="00BA1662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23A">
        <w:rPr>
          <w:rFonts w:ascii="Arial" w:hAnsi="Arial" w:cs="Arial"/>
          <w:sz w:val="24"/>
          <w:szCs w:val="24"/>
        </w:rPr>
        <w:t xml:space="preserve">Al 2030, ser referente </w:t>
      </w:r>
      <w:r w:rsidR="00E83E55" w:rsidRPr="0024623A">
        <w:rPr>
          <w:rFonts w:ascii="Arial" w:hAnsi="Arial" w:cs="Arial"/>
          <w:sz w:val="24"/>
          <w:szCs w:val="24"/>
          <w:lang w:val="es-ES"/>
        </w:rPr>
        <w:t>de un servicio educativo de calidad y pertinente que</w:t>
      </w:r>
      <w:r w:rsidRPr="0024623A">
        <w:rPr>
          <w:rFonts w:ascii="Arial" w:hAnsi="Arial" w:cs="Arial"/>
          <w:sz w:val="24"/>
          <w:szCs w:val="24"/>
        </w:rPr>
        <w:t xml:space="preserve"> forma profesionales innovadores, con valores, que demuestran equidad, valoran la interculturalidad y poseen una conciencia ambiental positiva; capaces de generar su propio emprendimiento que sume al desarrollo regional y nacional.</w:t>
      </w:r>
    </w:p>
    <w:p w14:paraId="4FAF6A42" w14:textId="77777777" w:rsidR="00151406" w:rsidRPr="00EA432B" w:rsidRDefault="00151406" w:rsidP="00EA432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8C4224" w14:textId="77777777" w:rsidR="00151406" w:rsidRPr="008E7485" w:rsidRDefault="00151406" w:rsidP="008E7485">
      <w:pPr>
        <w:pStyle w:val="Ttulo1"/>
        <w:numPr>
          <w:ilvl w:val="0"/>
          <w:numId w:val="8"/>
        </w:numPr>
        <w:rPr>
          <w:b/>
          <w:bCs/>
          <w:lang w:val="es-ES"/>
        </w:rPr>
      </w:pPr>
      <w:bookmarkStart w:id="3" w:name="_Toc162806363"/>
      <w:r w:rsidRPr="008E7485">
        <w:rPr>
          <w:b/>
          <w:bCs/>
          <w:lang w:val="es-ES"/>
        </w:rPr>
        <w:t>MISIÓN</w:t>
      </w:r>
      <w:bookmarkEnd w:id="3"/>
    </w:p>
    <w:p w14:paraId="7AD22296" w14:textId="77777777" w:rsidR="00151406" w:rsidRPr="0041769F" w:rsidRDefault="00151406" w:rsidP="00151406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6A85C794" w14:textId="4C478077" w:rsidR="00EA432B" w:rsidRPr="00CC0BBB" w:rsidRDefault="00E83E55" w:rsidP="00BA1662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BBB">
        <w:rPr>
          <w:rFonts w:ascii="Arial" w:hAnsi="Arial" w:cs="Arial"/>
          <w:sz w:val="24"/>
          <w:szCs w:val="24"/>
        </w:rPr>
        <w:t>Institución de educación superior que b</w:t>
      </w:r>
      <w:r w:rsidR="002449CE" w:rsidRPr="00CC0BBB">
        <w:rPr>
          <w:rFonts w:ascii="Arial" w:hAnsi="Arial" w:cs="Arial"/>
          <w:sz w:val="24"/>
          <w:szCs w:val="24"/>
        </w:rPr>
        <w:t xml:space="preserve">rinda formación profesional de calidad para </w:t>
      </w:r>
      <w:r w:rsidRPr="00CC0BBB">
        <w:rPr>
          <w:rFonts w:ascii="Arial" w:hAnsi="Arial" w:cs="Arial"/>
          <w:sz w:val="24"/>
          <w:szCs w:val="24"/>
        </w:rPr>
        <w:t>el desarrollo de la</w:t>
      </w:r>
      <w:r w:rsidR="002449CE" w:rsidRPr="00CC0BBB">
        <w:rPr>
          <w:rFonts w:ascii="Arial" w:hAnsi="Arial" w:cs="Arial"/>
          <w:sz w:val="24"/>
          <w:szCs w:val="24"/>
        </w:rPr>
        <w:t xml:space="preserve"> producción agropecuaria y </w:t>
      </w:r>
      <w:r w:rsidRPr="00CC0BBB">
        <w:rPr>
          <w:rFonts w:ascii="Arial" w:hAnsi="Arial" w:cs="Arial"/>
          <w:sz w:val="24"/>
          <w:szCs w:val="24"/>
        </w:rPr>
        <w:t>el</w:t>
      </w:r>
      <w:r w:rsidR="002449CE" w:rsidRPr="00CC0BBB">
        <w:rPr>
          <w:rFonts w:ascii="Arial" w:hAnsi="Arial" w:cs="Arial"/>
          <w:sz w:val="24"/>
          <w:szCs w:val="24"/>
        </w:rPr>
        <w:t xml:space="preserve"> turismo, promoviendo la innovación y el emprendimiento con principios y valores para generar el desarrollo sostenible de la región.</w:t>
      </w:r>
    </w:p>
    <w:p w14:paraId="0F9B93C5" w14:textId="77777777" w:rsidR="002449CE" w:rsidRPr="0041769F" w:rsidRDefault="002449CE" w:rsidP="004176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809F97" w14:textId="77777777" w:rsidR="002449CE" w:rsidRPr="008E7485" w:rsidRDefault="00903875" w:rsidP="008E7485">
      <w:pPr>
        <w:pStyle w:val="Ttulo1"/>
        <w:numPr>
          <w:ilvl w:val="0"/>
          <w:numId w:val="8"/>
        </w:numPr>
        <w:rPr>
          <w:b/>
          <w:bCs/>
          <w:lang w:val="es-ES"/>
        </w:rPr>
      </w:pPr>
      <w:bookmarkStart w:id="4" w:name="_Toc162806364"/>
      <w:r w:rsidRPr="008E7485">
        <w:rPr>
          <w:b/>
          <w:bCs/>
          <w:lang w:val="es-ES"/>
        </w:rPr>
        <w:t>IDENTIFICACIÓN DE LA INSTITUCIÓN</w:t>
      </w:r>
      <w:bookmarkEnd w:id="4"/>
    </w:p>
    <w:p w14:paraId="07775873" w14:textId="77777777" w:rsidR="00903875" w:rsidRDefault="00903875" w:rsidP="0090387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0888D92C" w14:textId="77777777" w:rsidR="00903875" w:rsidRDefault="00903875" w:rsidP="0090387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903875">
        <w:rPr>
          <w:rFonts w:ascii="Arial" w:hAnsi="Arial" w:cs="Arial"/>
          <w:b/>
          <w:sz w:val="24"/>
          <w:szCs w:val="24"/>
          <w:lang w:val="es-ES"/>
        </w:rPr>
        <w:t>Denominación:</w:t>
      </w:r>
      <w:r>
        <w:rPr>
          <w:rFonts w:ascii="Arial" w:hAnsi="Arial" w:cs="Arial"/>
          <w:sz w:val="24"/>
          <w:szCs w:val="24"/>
          <w:lang w:val="es-ES"/>
        </w:rPr>
        <w:t xml:space="preserve"> Instituto de Educación Superior Público “El Milagro”</w:t>
      </w:r>
    </w:p>
    <w:p w14:paraId="0500129A" w14:textId="77777777" w:rsidR="00903875" w:rsidRDefault="00903875" w:rsidP="0090387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6ED65876" w14:textId="6E182507" w:rsidR="00903875" w:rsidRDefault="00903875" w:rsidP="0090387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903875">
        <w:rPr>
          <w:rFonts w:ascii="Arial" w:hAnsi="Arial" w:cs="Arial"/>
          <w:b/>
          <w:sz w:val="24"/>
          <w:szCs w:val="24"/>
          <w:lang w:val="es-ES"/>
        </w:rPr>
        <w:t>Documento de creación: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R.M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0900-2003-ED </w:t>
      </w:r>
      <w:r w:rsidR="00E83E55">
        <w:rPr>
          <w:rFonts w:ascii="Arial" w:hAnsi="Arial" w:cs="Arial"/>
          <w:sz w:val="24"/>
          <w:szCs w:val="24"/>
          <w:lang w:val="es-ES"/>
        </w:rPr>
        <w:t>del 15 de setiembre del 2023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300CA1C0" w14:textId="77777777" w:rsidR="00903875" w:rsidRDefault="00903875" w:rsidP="0090387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6FA61864" w14:textId="77777777" w:rsidR="007911FE" w:rsidRDefault="00903875" w:rsidP="007911FE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903875">
        <w:rPr>
          <w:rFonts w:ascii="Arial" w:hAnsi="Arial" w:cs="Arial"/>
          <w:b/>
          <w:sz w:val="24"/>
          <w:szCs w:val="24"/>
          <w:lang w:val="es-ES"/>
        </w:rPr>
        <w:t xml:space="preserve">Ubicación: </w:t>
      </w:r>
      <w:r>
        <w:rPr>
          <w:rFonts w:ascii="Arial" w:hAnsi="Arial" w:cs="Arial"/>
          <w:sz w:val="24"/>
          <w:szCs w:val="24"/>
          <w:lang w:val="es-ES"/>
        </w:rPr>
        <w:t>Lugar: Centro Poblado Nuevo Milagro; Distrito: San Juan Bautista; Provincia: Maynas; Departamento: Loreto.</w:t>
      </w:r>
      <w:r w:rsidR="007911F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202A5C5" w14:textId="77777777" w:rsidR="00903875" w:rsidRDefault="00903875" w:rsidP="007911FE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Dirección: Centro Poblado Nuevo Milagro; referencia: Carretera Iquitos – Nauta Km. 21 con desviación al margen izquierdo, de 2 km aproximadamente</w:t>
      </w:r>
      <w:r w:rsidR="007911FE">
        <w:rPr>
          <w:rFonts w:ascii="Arial" w:hAnsi="Arial" w:cs="Arial"/>
          <w:sz w:val="24"/>
          <w:szCs w:val="24"/>
          <w:lang w:val="es-ES"/>
        </w:rPr>
        <w:t>.</w:t>
      </w:r>
    </w:p>
    <w:p w14:paraId="4A9E50B4" w14:textId="77777777" w:rsidR="007A559F" w:rsidRDefault="007A559F" w:rsidP="007911FE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368AF6F0" w14:textId="77777777" w:rsidR="007A559F" w:rsidRDefault="007A559F" w:rsidP="007911FE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7A559F">
        <w:rPr>
          <w:rFonts w:ascii="Arial" w:hAnsi="Arial" w:cs="Arial"/>
          <w:b/>
          <w:sz w:val="24"/>
          <w:szCs w:val="24"/>
          <w:lang w:val="es-ES"/>
        </w:rPr>
        <w:t xml:space="preserve">Código modular: </w:t>
      </w:r>
      <w:r>
        <w:rPr>
          <w:rFonts w:ascii="Arial" w:hAnsi="Arial" w:cs="Arial"/>
          <w:sz w:val="24"/>
          <w:szCs w:val="24"/>
          <w:lang w:val="es-ES"/>
        </w:rPr>
        <w:t>1335744.</w:t>
      </w:r>
    </w:p>
    <w:p w14:paraId="0C301E19" w14:textId="77777777" w:rsidR="007A559F" w:rsidRDefault="007A559F" w:rsidP="007911FE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2CFF4E72" w14:textId="77777777" w:rsidR="007A559F" w:rsidRPr="0052147D" w:rsidRDefault="007A559F" w:rsidP="007911F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4943B4">
        <w:rPr>
          <w:rFonts w:ascii="Arial" w:hAnsi="Arial" w:cs="Arial"/>
          <w:b/>
          <w:sz w:val="24"/>
          <w:szCs w:val="24"/>
        </w:rPr>
        <w:t xml:space="preserve">Portal web: </w:t>
      </w:r>
      <w:hyperlink r:id="rId9" w:history="1">
        <w:r w:rsidRPr="0052147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https://www.iestpelmilagro.edu.pe</w:t>
        </w:r>
      </w:hyperlink>
    </w:p>
    <w:p w14:paraId="59712914" w14:textId="77777777" w:rsidR="007A559F" w:rsidRPr="004943B4" w:rsidRDefault="007A559F" w:rsidP="007911F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6541D0E9" w14:textId="77777777" w:rsidR="007A559F" w:rsidRPr="007A559F" w:rsidRDefault="007A559F" w:rsidP="007911F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A559F">
        <w:rPr>
          <w:rFonts w:ascii="Arial" w:hAnsi="Arial" w:cs="Arial"/>
          <w:b/>
          <w:sz w:val="24"/>
          <w:szCs w:val="24"/>
        </w:rPr>
        <w:t xml:space="preserve">Programas de estudios: </w:t>
      </w:r>
      <w:r w:rsidRPr="007A559F">
        <w:rPr>
          <w:rFonts w:ascii="Arial" w:hAnsi="Arial" w:cs="Arial"/>
          <w:sz w:val="24"/>
          <w:szCs w:val="24"/>
        </w:rPr>
        <w:t xml:space="preserve">Producción </w:t>
      </w:r>
      <w:r w:rsidR="004A54BC" w:rsidRPr="007A559F">
        <w:rPr>
          <w:rFonts w:ascii="Arial" w:hAnsi="Arial" w:cs="Arial"/>
          <w:sz w:val="24"/>
          <w:szCs w:val="24"/>
        </w:rPr>
        <w:t>Agropecuaria</w:t>
      </w:r>
      <w:r w:rsidRPr="007A559F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Guía Oficial de </w:t>
      </w:r>
      <w:r w:rsidR="004A54B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urismo</w:t>
      </w:r>
    </w:p>
    <w:p w14:paraId="28F86305" w14:textId="77777777" w:rsidR="007A559F" w:rsidRPr="007A559F" w:rsidRDefault="007A559F" w:rsidP="007911F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5BFB91A1" w14:textId="0191AB46" w:rsidR="00903875" w:rsidRDefault="00903875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C644052" w14:textId="3D0463DB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C77943C" w14:textId="427EAD2B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0C62FB4" w14:textId="1E20C124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99E571F" w14:textId="7A812051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6C1BE62" w14:textId="11B1924A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445EECE" w14:textId="69E75170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A2C3883" w14:textId="3D80D8F9" w:rsidR="007133A1" w:rsidRDefault="007133A1" w:rsidP="0090387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AF001E1" w14:textId="77777777" w:rsidR="00A64B66" w:rsidRPr="008E7485" w:rsidRDefault="00A64B66" w:rsidP="008E7485">
      <w:pPr>
        <w:pStyle w:val="Ttulo1"/>
        <w:numPr>
          <w:ilvl w:val="0"/>
          <w:numId w:val="8"/>
        </w:numPr>
        <w:rPr>
          <w:b/>
          <w:bCs/>
        </w:rPr>
      </w:pPr>
      <w:bookmarkStart w:id="5" w:name="_Toc162806365"/>
      <w:bookmarkStart w:id="6" w:name="_Toc162806366"/>
      <w:bookmarkStart w:id="7" w:name="_Toc162806367"/>
      <w:bookmarkStart w:id="8" w:name="_Toc162806368"/>
      <w:bookmarkStart w:id="9" w:name="_Toc162806396"/>
      <w:bookmarkStart w:id="10" w:name="_Toc162806397"/>
      <w:bookmarkStart w:id="11" w:name="_Toc162806429"/>
      <w:bookmarkStart w:id="12" w:name="_Toc162806430"/>
      <w:bookmarkStart w:id="13" w:name="_Toc162806431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8E7485">
        <w:rPr>
          <w:b/>
          <w:bCs/>
          <w:lang w:val="es-ES"/>
        </w:rPr>
        <w:lastRenderedPageBreak/>
        <w:t>ANÁLISIS FODA DEL IES Público “El Milagro”:</w:t>
      </w:r>
      <w:bookmarkEnd w:id="13"/>
    </w:p>
    <w:p w14:paraId="1710895D" w14:textId="77777777" w:rsidR="005C1AE0" w:rsidRPr="005C1AE0" w:rsidRDefault="005C1AE0" w:rsidP="005C1A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0726184" w14:textId="2DE5E860" w:rsidR="005C1AE0" w:rsidRPr="00EB004C" w:rsidRDefault="005C1AE0" w:rsidP="005C1AE0">
      <w:pPr>
        <w:pStyle w:val="Prrafodelista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 xml:space="preserve">A partir de los </w:t>
      </w:r>
      <w:r w:rsidR="00A65242">
        <w:rPr>
          <w:rFonts w:ascii="Arial" w:hAnsi="Arial" w:cs="Arial"/>
        </w:rPr>
        <w:t>factores</w:t>
      </w:r>
      <w:r w:rsidR="00A65242" w:rsidRPr="00EB004C">
        <w:rPr>
          <w:rFonts w:ascii="Arial" w:hAnsi="Arial" w:cs="Arial"/>
        </w:rPr>
        <w:t xml:space="preserve"> </w:t>
      </w:r>
      <w:r w:rsidRPr="00EB004C">
        <w:rPr>
          <w:rFonts w:ascii="Arial" w:hAnsi="Arial" w:cs="Arial"/>
        </w:rPr>
        <w:t>clave</w:t>
      </w:r>
      <w:r w:rsidR="00A65242">
        <w:rPr>
          <w:rFonts w:ascii="Arial" w:hAnsi="Arial" w:cs="Arial"/>
        </w:rPr>
        <w:t>s</w:t>
      </w:r>
      <w:r w:rsidRPr="00EB004C">
        <w:rPr>
          <w:rFonts w:ascii="Arial" w:hAnsi="Arial" w:cs="Arial"/>
        </w:rPr>
        <w:t xml:space="preserve"> identificados en la matriz FODA </w:t>
      </w:r>
      <w:r w:rsidR="00A65242">
        <w:rPr>
          <w:rFonts w:ascii="Arial" w:hAnsi="Arial" w:cs="Arial"/>
        </w:rPr>
        <w:t xml:space="preserve">del Proyecto Educativo Institucional </w:t>
      </w:r>
      <w:r w:rsidRPr="00EB004C">
        <w:rPr>
          <w:rFonts w:ascii="Arial" w:hAnsi="Arial" w:cs="Arial"/>
        </w:rPr>
        <w:t xml:space="preserve">se </w:t>
      </w:r>
      <w:r w:rsidR="00A65242">
        <w:rPr>
          <w:rFonts w:ascii="Arial" w:hAnsi="Arial" w:cs="Arial"/>
        </w:rPr>
        <w:t xml:space="preserve">toma en consideración </w:t>
      </w:r>
      <w:r w:rsidRPr="00EB004C">
        <w:rPr>
          <w:rFonts w:ascii="Arial" w:hAnsi="Arial" w:cs="Arial"/>
        </w:rPr>
        <w:t>el análisis siguiente que permitirá perfilar acciones de mejora y objetivos:</w:t>
      </w:r>
    </w:p>
    <w:p w14:paraId="6F13EFA6" w14:textId="77777777" w:rsidR="005C1AE0" w:rsidRPr="00EB004C" w:rsidRDefault="005C1AE0" w:rsidP="005C1AE0">
      <w:pPr>
        <w:pStyle w:val="Prrafodelista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>AUMENTAR (FO): Usar las fortalezas para tomar ventaja de las oportunidades.</w:t>
      </w:r>
    </w:p>
    <w:p w14:paraId="6ADDA651" w14:textId="77777777" w:rsidR="005C1AE0" w:rsidRPr="00EB004C" w:rsidRDefault="005C1AE0" w:rsidP="005C1AE0">
      <w:pPr>
        <w:pStyle w:val="Prrafodelista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>APROVECHAR (DO): Supere las debilidades tomando ventaja de las oportunidades.</w:t>
      </w:r>
    </w:p>
    <w:p w14:paraId="54426ABC" w14:textId="77777777" w:rsidR="005C1AE0" w:rsidRPr="00EB004C" w:rsidRDefault="005C1AE0" w:rsidP="005C1AE0">
      <w:pPr>
        <w:pStyle w:val="Prrafodelista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>DISMINUIR (FA): Usar las fortalezas para evitar las amenazas.</w:t>
      </w:r>
    </w:p>
    <w:p w14:paraId="150D917E" w14:textId="2B86FAC6" w:rsidR="00B11C62" w:rsidRDefault="005C1AE0" w:rsidP="005C1AE0">
      <w:pPr>
        <w:pStyle w:val="Prrafodelista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>NEUTRALIZAR (DA): Minimice las debilidades y evite las amenazas.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3821"/>
      </w:tblGrid>
      <w:tr w:rsidR="00B11C62" w:rsidRPr="00EB004C" w14:paraId="0CB8D65F" w14:textId="77777777" w:rsidTr="00BA1662">
        <w:tc>
          <w:tcPr>
            <w:tcW w:w="3969" w:type="dxa"/>
            <w:shd w:val="clear" w:color="auto" w:fill="E2EFD9" w:themeFill="accent6" w:themeFillTint="33"/>
          </w:tcPr>
          <w:p w14:paraId="0BD648F6" w14:textId="77777777" w:rsidR="00B11C62" w:rsidRPr="00EB004C" w:rsidRDefault="00B11C62" w:rsidP="005B6A75">
            <w:pPr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Arial Narrow" w:hAnsi="Arial" w:cs="Arial"/>
                <w:b/>
                <w:sz w:val="20"/>
                <w:szCs w:val="20"/>
              </w:rPr>
              <w:t>AUMENTAR (FO): Usar las fortalezas para tomar ventaja de las oportunidades</w:t>
            </w:r>
          </w:p>
        </w:tc>
        <w:tc>
          <w:tcPr>
            <w:tcW w:w="3821" w:type="dxa"/>
            <w:shd w:val="clear" w:color="auto" w:fill="E2EFD9" w:themeFill="accent6" w:themeFillTint="33"/>
          </w:tcPr>
          <w:p w14:paraId="36B9B09A" w14:textId="77777777" w:rsidR="00B11C62" w:rsidRPr="00EB004C" w:rsidRDefault="00B11C62" w:rsidP="005B6A75">
            <w:pPr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Arial Narrow" w:hAnsi="Arial" w:cs="Arial"/>
                <w:b/>
                <w:sz w:val="20"/>
                <w:szCs w:val="20"/>
              </w:rPr>
              <w:t>APROVECHAR (DO): Supere las debilidades tomando ventaja de las oportunidades</w:t>
            </w:r>
          </w:p>
        </w:tc>
      </w:tr>
      <w:tr w:rsidR="00B11C62" w:rsidRPr="00EB004C" w14:paraId="6A7AB195" w14:textId="77777777" w:rsidTr="00BA1662">
        <w:tc>
          <w:tcPr>
            <w:tcW w:w="3969" w:type="dxa"/>
          </w:tcPr>
          <w:p w14:paraId="2A04A67F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Fortalecer el servicio educativo de los 2 programas de estudios.</w:t>
            </w:r>
          </w:p>
          <w:p w14:paraId="0F742185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Potenciar el desarrollo de capacidades de los docentes, en favor de los estudiantes y la institución.</w:t>
            </w:r>
          </w:p>
          <w:p w14:paraId="75369473" w14:textId="77777777" w:rsidR="00B11C62" w:rsidRPr="00257E49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Fortalecer el desarrollo de proyectos productivos en favor de la comunidad y la institución.</w:t>
            </w:r>
          </w:p>
        </w:tc>
        <w:tc>
          <w:tcPr>
            <w:tcW w:w="3821" w:type="dxa"/>
          </w:tcPr>
          <w:p w14:paraId="49E9F544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Generar alianzas con empresas e instituciones para el desarrollo de experiencias formativas en situaciones reales de trabajo (EFSRT) </w:t>
            </w:r>
          </w:p>
          <w:p w14:paraId="2F73045A" w14:textId="77777777" w:rsidR="00B11C62" w:rsidRPr="00257E49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Implementar la estrategia de seguimiento a egresados que permita conocer el impacto del servicio educativo.</w:t>
            </w:r>
          </w:p>
        </w:tc>
      </w:tr>
      <w:tr w:rsidR="00B11C62" w:rsidRPr="00EB004C" w14:paraId="6974E4C1" w14:textId="77777777" w:rsidTr="00BA1662">
        <w:tc>
          <w:tcPr>
            <w:tcW w:w="3969" w:type="dxa"/>
            <w:shd w:val="clear" w:color="auto" w:fill="E2EFD9" w:themeFill="accent6" w:themeFillTint="33"/>
          </w:tcPr>
          <w:p w14:paraId="7FFB8681" w14:textId="77777777" w:rsidR="00B11C62" w:rsidRPr="00EB004C" w:rsidRDefault="00B11C62" w:rsidP="005B6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Arial Narrow" w:hAnsi="Arial" w:cs="Arial"/>
                <w:b/>
                <w:sz w:val="20"/>
                <w:szCs w:val="20"/>
              </w:rPr>
              <w:t>DISMINUIR (FA): Usar las fortalezas para evitar las amenazas</w:t>
            </w:r>
          </w:p>
        </w:tc>
        <w:tc>
          <w:tcPr>
            <w:tcW w:w="3821" w:type="dxa"/>
            <w:shd w:val="clear" w:color="auto" w:fill="E2EFD9" w:themeFill="accent6" w:themeFillTint="33"/>
          </w:tcPr>
          <w:p w14:paraId="6F63F9D9" w14:textId="77777777" w:rsidR="00B11C62" w:rsidRPr="00EB004C" w:rsidRDefault="00B11C62" w:rsidP="005B6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Arial Narrow" w:hAnsi="Arial" w:cs="Arial"/>
                <w:b/>
                <w:sz w:val="20"/>
                <w:szCs w:val="20"/>
              </w:rPr>
              <w:t>NEUTRALIZAR (DA): Minimice las debilidades y evite las amenazas</w:t>
            </w:r>
          </w:p>
        </w:tc>
      </w:tr>
      <w:tr w:rsidR="00B11C62" w:rsidRPr="00EB004C" w14:paraId="44E26123" w14:textId="77777777" w:rsidTr="00BA1662">
        <w:tc>
          <w:tcPr>
            <w:tcW w:w="3969" w:type="dxa"/>
          </w:tcPr>
          <w:p w14:paraId="4478A1BF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Articulación con autoridades locales y regionales para el fortalecimiento de los servicios básicos.</w:t>
            </w:r>
          </w:p>
          <w:p w14:paraId="62E1E9DC" w14:textId="77777777" w:rsidR="00B11C62" w:rsidRPr="00DA3085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F7AE0">
              <w:rPr>
                <w:rFonts w:ascii="Arial" w:hAnsi="Arial" w:cs="Arial"/>
                <w:sz w:val="20"/>
                <w:szCs w:val="20"/>
              </w:rPr>
              <w:t>Potenciar el trabajo con los gobiernos regionales y/o locales para desarrollar proyectos conjuntos que fomenten</w:t>
            </w:r>
            <w:r w:rsidRPr="00DA3085">
              <w:rPr>
                <w:rFonts w:ascii="Arial" w:hAnsi="Arial" w:cs="Arial"/>
                <w:sz w:val="20"/>
                <w:szCs w:val="20"/>
              </w:rPr>
              <w:t xml:space="preserve"> la inversión </w:t>
            </w:r>
            <w:r>
              <w:rPr>
                <w:rFonts w:ascii="Arial" w:hAnsi="Arial" w:cs="Arial"/>
                <w:sz w:val="20"/>
                <w:szCs w:val="20"/>
              </w:rPr>
              <w:t>para la institución educativa</w:t>
            </w:r>
            <w:r w:rsidRPr="00DA3085">
              <w:rPr>
                <w:rFonts w:ascii="Arial" w:hAnsi="Arial" w:cs="Arial"/>
                <w:sz w:val="20"/>
                <w:szCs w:val="20"/>
              </w:rPr>
              <w:t>.</w:t>
            </w:r>
            <w:r w:rsidRPr="00DA308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  <w:p w14:paraId="0FD59616" w14:textId="77777777" w:rsidR="00B11C62" w:rsidRPr="00DA3085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Desarrollar</w:t>
            </w:r>
            <w:r w:rsidRPr="00DA3085">
              <w:rPr>
                <w:rFonts w:ascii="Arial" w:hAnsi="Arial" w:cs="Arial"/>
                <w:sz w:val="20"/>
                <w:szCs w:val="20"/>
              </w:rPr>
              <w:t xml:space="preserve"> propuestas </w:t>
            </w:r>
            <w:r>
              <w:rPr>
                <w:rFonts w:ascii="Arial" w:hAnsi="Arial" w:cs="Arial"/>
                <w:sz w:val="20"/>
                <w:szCs w:val="20"/>
              </w:rPr>
              <w:t>que permitan el</w:t>
            </w:r>
            <w:r w:rsidRPr="00DA3085">
              <w:rPr>
                <w:rFonts w:ascii="Arial" w:hAnsi="Arial" w:cs="Arial"/>
                <w:sz w:val="20"/>
                <w:szCs w:val="20"/>
              </w:rPr>
              <w:t xml:space="preserve"> financiamiento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reposición de </w:t>
            </w:r>
            <w:r w:rsidRPr="00DA3085">
              <w:rPr>
                <w:rFonts w:ascii="Arial" w:hAnsi="Arial" w:cs="Arial"/>
                <w:sz w:val="20"/>
                <w:szCs w:val="20"/>
              </w:rPr>
              <w:t>equip</w:t>
            </w:r>
            <w:r>
              <w:rPr>
                <w:rFonts w:ascii="Arial" w:hAnsi="Arial" w:cs="Arial"/>
                <w:sz w:val="20"/>
                <w:szCs w:val="20"/>
              </w:rPr>
              <w:t>amiento y proyectos de innovación</w:t>
            </w:r>
            <w:r w:rsidRPr="00DA30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el mantenimiento de las condiciones básicas de</w:t>
            </w:r>
            <w:r w:rsidRPr="00DA3085">
              <w:rPr>
                <w:rFonts w:ascii="Arial" w:hAnsi="Arial" w:cs="Arial"/>
                <w:sz w:val="20"/>
                <w:szCs w:val="20"/>
              </w:rPr>
              <w:t xml:space="preserve"> calidad.</w:t>
            </w:r>
          </w:p>
        </w:tc>
        <w:tc>
          <w:tcPr>
            <w:tcW w:w="3821" w:type="dxa"/>
          </w:tcPr>
          <w:p w14:paraId="0FEB7275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Gestionar la formalización de la propiedad del instituto.</w:t>
            </w:r>
          </w:p>
          <w:p w14:paraId="5692A947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Ampliar la participación en fondos concursables para el mejoramiento de la institución educativa.</w:t>
            </w:r>
          </w:p>
          <w:p w14:paraId="5374DA2A" w14:textId="77777777" w:rsidR="00B11C62" w:rsidRPr="00EB004C" w:rsidRDefault="00B11C62" w:rsidP="00B11C62">
            <w:pPr>
              <w:numPr>
                <w:ilvl w:val="0"/>
                <w:numId w:val="4"/>
              </w:numPr>
              <w:ind w:left="207" w:hanging="20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004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Gestionar con la GREL la implementación progresiva de los servicios educacionales. </w:t>
            </w:r>
          </w:p>
        </w:tc>
      </w:tr>
    </w:tbl>
    <w:p w14:paraId="6A470C26" w14:textId="77777777" w:rsidR="005C1AE0" w:rsidRPr="00EB004C" w:rsidRDefault="005C1AE0" w:rsidP="005C1AE0">
      <w:pPr>
        <w:pStyle w:val="Prrafodelista"/>
        <w:ind w:left="1080"/>
        <w:rPr>
          <w:rFonts w:ascii="Arial" w:hAnsi="Arial" w:cs="Arial"/>
        </w:rPr>
      </w:pPr>
    </w:p>
    <w:p w14:paraId="42AA0FBB" w14:textId="77777777" w:rsidR="005C1AE0" w:rsidRPr="008E7485" w:rsidRDefault="005C1AE0" w:rsidP="008E7485">
      <w:pPr>
        <w:pStyle w:val="Ttulo1"/>
        <w:numPr>
          <w:ilvl w:val="0"/>
          <w:numId w:val="8"/>
        </w:numPr>
        <w:rPr>
          <w:b/>
          <w:bCs/>
        </w:rPr>
      </w:pPr>
      <w:bookmarkStart w:id="14" w:name="_Toc162806432"/>
      <w:r w:rsidRPr="008E7485">
        <w:rPr>
          <w:b/>
          <w:bCs/>
          <w:lang w:val="es-ES"/>
        </w:rPr>
        <w:t>OBJETIVOS INSTITUCIONALES:</w:t>
      </w:r>
      <w:bookmarkEnd w:id="14"/>
    </w:p>
    <w:p w14:paraId="112A516D" w14:textId="77777777" w:rsidR="005C1AE0" w:rsidRDefault="005C1AE0" w:rsidP="005C1AE0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4B398C32" w14:textId="77777777" w:rsidR="00B11C62" w:rsidRPr="00EB004C" w:rsidRDefault="00B11C62" w:rsidP="00B11C62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9F11A3">
        <w:rPr>
          <w:rFonts w:ascii="Arial" w:hAnsi="Arial" w:cs="Arial"/>
        </w:rPr>
        <w:t xml:space="preserve">El </w:t>
      </w:r>
      <w:r w:rsidRPr="009F11A3">
        <w:rPr>
          <w:rFonts w:ascii="Arial" w:eastAsia="Arial Narrow" w:hAnsi="Arial" w:cs="Arial"/>
          <w:color w:val="000000"/>
        </w:rPr>
        <w:t xml:space="preserve">IES Público “El Milagro” </w:t>
      </w:r>
      <w:r w:rsidRPr="009F11A3">
        <w:rPr>
          <w:rFonts w:ascii="Arial" w:hAnsi="Arial" w:cs="Arial"/>
        </w:rPr>
        <w:t xml:space="preserve">ha estructurado los objetivos estratégicos de forma dinámica e integral para posteriormente hacer seguimiento a una serie de indicadores y metas que evalúan el desempeño de las acciones estratégicas y los proyectos necesarios para lograr su cumplimiento satisfactorio. Estos ejes estratégicos están interconectados con la misión, visión y valores institucionales. Este fundamento permite establecer su direccionamiento al </w:t>
      </w:r>
      <w:r w:rsidRPr="009F11A3">
        <w:rPr>
          <w:rFonts w:ascii="Arial" w:eastAsia="Arial Narrow" w:hAnsi="Arial" w:cs="Arial"/>
          <w:color w:val="000000"/>
        </w:rPr>
        <w:t xml:space="preserve">IES Público “El Milagro” </w:t>
      </w:r>
      <w:r w:rsidRPr="009F11A3">
        <w:rPr>
          <w:rFonts w:ascii="Arial" w:hAnsi="Arial" w:cs="Arial"/>
        </w:rPr>
        <w:t>a través de cuatro (03) ejes estratégicos:</w:t>
      </w:r>
    </w:p>
    <w:p w14:paraId="79C42B3C" w14:textId="77777777" w:rsidR="00B11C62" w:rsidRPr="00EB004C" w:rsidRDefault="00B11C62" w:rsidP="00B11C62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</w:rPr>
      </w:pPr>
      <w:r w:rsidRPr="00EB004C">
        <w:rPr>
          <w:rFonts w:ascii="Arial" w:hAnsi="Arial" w:cs="Arial"/>
          <w:b/>
        </w:rPr>
        <w:t xml:space="preserve">Eje Estratégico 01: </w:t>
      </w:r>
      <w:r>
        <w:rPr>
          <w:rFonts w:ascii="Arial" w:hAnsi="Arial" w:cs="Arial"/>
          <w:b/>
        </w:rPr>
        <w:t xml:space="preserve">GESTIÓN DEL </w:t>
      </w:r>
      <w:r w:rsidRPr="00EB004C">
        <w:rPr>
          <w:rFonts w:ascii="Arial" w:hAnsi="Arial" w:cs="Arial"/>
          <w:b/>
        </w:rPr>
        <w:t>TALENTO HUMANO</w:t>
      </w:r>
    </w:p>
    <w:p w14:paraId="75BB8B2A" w14:textId="77777777" w:rsidR="00B11C62" w:rsidRPr="00822EF4" w:rsidRDefault="00B11C62" w:rsidP="00B11C6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1276" w:hanging="283"/>
        <w:jc w:val="both"/>
        <w:rPr>
          <w:rFonts w:ascii="Arial" w:hAnsi="Arial" w:cs="Arial"/>
        </w:rPr>
      </w:pPr>
      <w:r w:rsidRPr="00822EF4">
        <w:rPr>
          <w:rFonts w:ascii="Arial" w:hAnsi="Arial" w:cs="Arial"/>
        </w:rPr>
        <w:t>Objetivo Estratégico 01. Gestionar el talento humano de la plana docente, administrativa y de todo el personal de la institución implementando una cultura organizacional enfocada en el estudiante.</w:t>
      </w:r>
    </w:p>
    <w:p w14:paraId="36D6B987" w14:textId="77777777" w:rsidR="00B11C62" w:rsidRPr="00EB004C" w:rsidRDefault="00B11C62" w:rsidP="00B11C62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</w:rPr>
      </w:pPr>
      <w:r w:rsidRPr="00EB004C">
        <w:rPr>
          <w:rFonts w:ascii="Arial" w:hAnsi="Arial" w:cs="Arial"/>
          <w:b/>
        </w:rPr>
        <w:t>Eje Estratégico 02: PROCESOS ACADÉMICOS Y ADMINISTRATIVOS</w:t>
      </w:r>
      <w:r>
        <w:rPr>
          <w:rFonts w:ascii="Arial" w:hAnsi="Arial" w:cs="Arial"/>
          <w:b/>
        </w:rPr>
        <w:t xml:space="preserve"> EFICIENTES</w:t>
      </w:r>
    </w:p>
    <w:p w14:paraId="66983FD7" w14:textId="77777777" w:rsidR="00B11C62" w:rsidRPr="00822EF4" w:rsidRDefault="00B11C62" w:rsidP="00B11C6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1276" w:hanging="283"/>
        <w:jc w:val="both"/>
        <w:rPr>
          <w:rFonts w:ascii="Arial" w:hAnsi="Arial" w:cs="Arial"/>
        </w:rPr>
      </w:pPr>
      <w:r w:rsidRPr="00822EF4">
        <w:rPr>
          <w:rFonts w:ascii="Arial" w:hAnsi="Arial" w:cs="Arial"/>
        </w:rPr>
        <w:t>Objetivo Estratégico 02</w:t>
      </w:r>
      <w:r w:rsidRPr="004F7AE0">
        <w:rPr>
          <w:rFonts w:ascii="Arial" w:hAnsi="Arial" w:cs="Arial"/>
        </w:rPr>
        <w:t xml:space="preserve">. </w:t>
      </w:r>
      <w:r w:rsidRPr="004D52F9">
        <w:rPr>
          <w:rFonts w:ascii="Arial" w:hAnsi="Arial" w:cs="Arial"/>
        </w:rPr>
        <w:t xml:space="preserve"> </w:t>
      </w:r>
      <w:r w:rsidRPr="004F7AE0">
        <w:rPr>
          <w:rFonts w:ascii="Arial" w:hAnsi="Arial" w:cs="Arial"/>
        </w:rPr>
        <w:t>Fortalecer una gestión académica y administrativa eficiente buscando el desarrollo permanente de la institución generando relaciones estratégicas con diversas entidades públicas y privadas de la región.</w:t>
      </w:r>
    </w:p>
    <w:p w14:paraId="79D6061A" w14:textId="77777777" w:rsidR="00B11C62" w:rsidRPr="00822EF4" w:rsidRDefault="00B11C62" w:rsidP="00B11C6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1276" w:hanging="283"/>
        <w:jc w:val="both"/>
        <w:rPr>
          <w:rFonts w:ascii="Arial" w:hAnsi="Arial" w:cs="Arial"/>
        </w:rPr>
      </w:pPr>
      <w:r w:rsidRPr="00822EF4">
        <w:rPr>
          <w:rFonts w:ascii="Arial" w:hAnsi="Arial" w:cs="Arial"/>
        </w:rPr>
        <w:t>Objetivo Estratégico 03. Promover el emprendimiento que permitan la mejora de los procesos formativos y productivos.</w:t>
      </w:r>
    </w:p>
    <w:p w14:paraId="22B4FBF9" w14:textId="77777777" w:rsidR="00B11C62" w:rsidRPr="004F7AE0" w:rsidRDefault="00B11C62" w:rsidP="00B11C62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</w:rPr>
      </w:pPr>
      <w:r w:rsidRPr="004F7AE0">
        <w:rPr>
          <w:rFonts w:ascii="Arial" w:hAnsi="Arial" w:cs="Arial"/>
          <w:b/>
        </w:rPr>
        <w:t>Eje Estratégico 03: SERVICIO EDUCATIVO DE CALIDAD</w:t>
      </w:r>
    </w:p>
    <w:p w14:paraId="143341EC" w14:textId="77777777" w:rsidR="00B11C62" w:rsidRPr="004F7AE0" w:rsidRDefault="00B11C62" w:rsidP="00B11C6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1276" w:hanging="283"/>
        <w:jc w:val="both"/>
        <w:rPr>
          <w:rFonts w:ascii="Arial" w:hAnsi="Arial" w:cs="Arial"/>
        </w:rPr>
      </w:pPr>
      <w:r w:rsidRPr="00822EF4">
        <w:rPr>
          <w:rFonts w:ascii="Arial" w:hAnsi="Arial" w:cs="Arial"/>
        </w:rPr>
        <w:t>Objetivo Estratégico 04. Implementar un servicio educativo pertinente, de calidad y flexible con un enfoque intercultural que garantice el desarrollo integral de sus estudiantes.</w:t>
      </w:r>
    </w:p>
    <w:p w14:paraId="0D74B2A2" w14:textId="77777777" w:rsidR="00B11C62" w:rsidRPr="00822EF4" w:rsidRDefault="00B11C62" w:rsidP="00B11C6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1276" w:hanging="283"/>
        <w:jc w:val="both"/>
        <w:rPr>
          <w:rFonts w:ascii="Arial" w:hAnsi="Arial" w:cs="Arial"/>
        </w:rPr>
      </w:pPr>
      <w:r w:rsidRPr="004F7AE0">
        <w:rPr>
          <w:rFonts w:ascii="Arial" w:hAnsi="Arial" w:cs="Arial"/>
        </w:rPr>
        <w:t>Objetivo Estratégico 05. Implementar mecanismos de cooperación con actores del sector público y privado, a través de alianzas estratégicas e intercambio, para el fortalecimiento del servicio educativo</w:t>
      </w:r>
      <w:r w:rsidRPr="00822EF4">
        <w:rPr>
          <w:rFonts w:ascii="Arial" w:hAnsi="Arial" w:cs="Arial"/>
        </w:rPr>
        <w:t xml:space="preserve">, </w:t>
      </w:r>
      <w:r w:rsidRPr="004F7AE0">
        <w:rPr>
          <w:rFonts w:ascii="Arial" w:hAnsi="Arial" w:cs="Arial"/>
        </w:rPr>
        <w:t>proyectos productivos y de emprendimiento</w:t>
      </w:r>
      <w:r w:rsidRPr="00822EF4">
        <w:rPr>
          <w:rFonts w:ascii="Arial" w:hAnsi="Arial" w:cs="Arial"/>
        </w:rPr>
        <w:t>.</w:t>
      </w:r>
    </w:p>
    <w:p w14:paraId="7D939AD1" w14:textId="77777777" w:rsidR="00B11C62" w:rsidRPr="00EB004C" w:rsidRDefault="00B11C62" w:rsidP="00BA1662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 xml:space="preserve">Los Ejes Estratégicos constituyen los ámbitos de actuación en los que se centrará la actividad en los próximos años, estos objetivos estratégicos serán alcanzados a través de las actividades planteados en el Plan Anual de Trabajo – PAT y </w:t>
      </w:r>
      <w:r>
        <w:rPr>
          <w:rFonts w:ascii="Arial" w:hAnsi="Arial" w:cs="Arial"/>
        </w:rPr>
        <w:t>serán</w:t>
      </w:r>
      <w:r w:rsidRPr="00EB004C">
        <w:rPr>
          <w:rFonts w:ascii="Arial" w:hAnsi="Arial" w:cs="Arial"/>
        </w:rPr>
        <w:t xml:space="preserve"> evaluados mediante los indicadores que actuarán sinérgicamente al servicio de cada uno de los </w:t>
      </w:r>
      <w:r>
        <w:rPr>
          <w:rFonts w:ascii="Arial" w:hAnsi="Arial" w:cs="Arial"/>
        </w:rPr>
        <w:t>3</w:t>
      </w:r>
      <w:r w:rsidRPr="00EB004C">
        <w:rPr>
          <w:rFonts w:ascii="Arial" w:hAnsi="Arial" w:cs="Arial"/>
        </w:rPr>
        <w:t xml:space="preserve"> ejes estratégicos vigentes del IES Público “El Milagro”; y ello está orientado hacia su misión y visión.</w:t>
      </w:r>
    </w:p>
    <w:p w14:paraId="26FD654A" w14:textId="6AD4D183" w:rsidR="005C1AE0" w:rsidRDefault="005C1AE0" w:rsidP="005C1AE0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EB004C">
        <w:rPr>
          <w:rFonts w:ascii="Arial" w:hAnsi="Arial" w:cs="Arial"/>
        </w:rPr>
        <w:t>Los ejes estratégicos y objetivos estratégicos que direccionará el IES Público “El Milagro” están articulados a los fines de la educación superior, articulo N° 3, Ley 30512.</w:t>
      </w:r>
    </w:p>
    <w:p w14:paraId="5384DDD1" w14:textId="77777777" w:rsidR="008D6190" w:rsidRPr="00BA1662" w:rsidRDefault="008D6190" w:rsidP="00BA1662">
      <w:pPr>
        <w:pStyle w:val="Ttulo1"/>
        <w:numPr>
          <w:ilvl w:val="0"/>
          <w:numId w:val="8"/>
        </w:numPr>
        <w:rPr>
          <w:b/>
          <w:bCs/>
          <w:lang w:val="es-ES"/>
        </w:rPr>
      </w:pPr>
      <w:bookmarkStart w:id="15" w:name="_Toc162806433"/>
      <w:bookmarkStart w:id="16" w:name="_Toc107915335"/>
      <w:bookmarkStart w:id="17" w:name="_Toc162806434"/>
      <w:bookmarkEnd w:id="15"/>
      <w:r w:rsidRPr="00BA1662">
        <w:rPr>
          <w:b/>
          <w:bCs/>
          <w:lang w:val="es-ES"/>
        </w:rPr>
        <w:t>OBJETIVOS DEL PLAN ANUAL DE TRABAJO – PAT</w:t>
      </w:r>
      <w:bookmarkStart w:id="18" w:name="_Toc106186123"/>
      <w:bookmarkEnd w:id="16"/>
      <w:bookmarkEnd w:id="17"/>
    </w:p>
    <w:p w14:paraId="2B3E712B" w14:textId="77777777" w:rsidR="008D6190" w:rsidRPr="00F2630F" w:rsidRDefault="008D6190" w:rsidP="008D6190">
      <w:pPr>
        <w:pStyle w:val="Piedepgina"/>
        <w:spacing w:line="360" w:lineRule="auto"/>
        <w:ind w:left="720"/>
        <w:jc w:val="both"/>
        <w:outlineLvl w:val="1"/>
        <w:rPr>
          <w:rFonts w:ascii="Arial" w:hAnsi="Arial" w:cs="Arial"/>
          <w:b/>
          <w:lang w:val="es-MX"/>
        </w:rPr>
      </w:pPr>
    </w:p>
    <w:p w14:paraId="15885B16" w14:textId="535EE5D2" w:rsidR="008D6190" w:rsidRPr="00F2630F" w:rsidRDefault="008D6190" w:rsidP="00BA1662">
      <w:pPr>
        <w:pStyle w:val="Ttulo1"/>
        <w:numPr>
          <w:ilvl w:val="1"/>
          <w:numId w:val="8"/>
        </w:numPr>
        <w:spacing w:before="0"/>
        <w:ind w:left="715" w:hanging="505"/>
        <w:jc w:val="both"/>
        <w:rPr>
          <w:rFonts w:cs="Arial"/>
          <w:sz w:val="22"/>
          <w:szCs w:val="22"/>
        </w:rPr>
      </w:pPr>
      <w:bookmarkStart w:id="19" w:name="_Toc162806435"/>
      <w:bookmarkEnd w:id="18"/>
      <w:r w:rsidRPr="00F2630F">
        <w:rPr>
          <w:rFonts w:cs="Arial"/>
          <w:sz w:val="22"/>
          <w:szCs w:val="22"/>
        </w:rPr>
        <w:t>Objetivo General</w:t>
      </w:r>
      <w:bookmarkEnd w:id="19"/>
    </w:p>
    <w:p w14:paraId="2B1B1404" w14:textId="40BBDDA7" w:rsidR="008D6190" w:rsidRPr="00BA1662" w:rsidRDefault="006F2485" w:rsidP="00BA1662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bookmarkStart w:id="20" w:name="_Toc106186124"/>
      <w:r>
        <w:rPr>
          <w:rFonts w:ascii="Arial" w:hAnsi="Arial" w:cs="Arial"/>
        </w:rPr>
        <w:t xml:space="preserve">Garantizar el </w:t>
      </w:r>
      <w:r w:rsidR="00EF40CB">
        <w:rPr>
          <w:rFonts w:ascii="Arial" w:hAnsi="Arial" w:cs="Arial"/>
        </w:rPr>
        <w:t xml:space="preserve">correcto </w:t>
      </w:r>
      <w:r>
        <w:rPr>
          <w:rFonts w:ascii="Arial" w:hAnsi="Arial" w:cs="Arial"/>
        </w:rPr>
        <w:t xml:space="preserve">funcionamiento operacional </w:t>
      </w:r>
      <w:r w:rsidR="008D6190" w:rsidRPr="00BA1662">
        <w:rPr>
          <w:rFonts w:ascii="Arial" w:hAnsi="Arial" w:cs="Arial"/>
        </w:rPr>
        <w:t xml:space="preserve">del </w:t>
      </w:r>
      <w:r w:rsidR="008D6190" w:rsidRPr="00F2630F">
        <w:rPr>
          <w:rFonts w:ascii="Arial" w:hAnsi="Arial" w:cs="Arial"/>
        </w:rPr>
        <w:t>IES P</w:t>
      </w:r>
      <w:r>
        <w:rPr>
          <w:rFonts w:ascii="Arial" w:hAnsi="Arial" w:cs="Arial"/>
        </w:rPr>
        <w:t xml:space="preserve">úblico </w:t>
      </w:r>
      <w:r w:rsidR="008D6190" w:rsidRPr="00F2630F">
        <w:rPr>
          <w:rFonts w:ascii="Arial" w:hAnsi="Arial" w:cs="Arial"/>
        </w:rPr>
        <w:t>“</w:t>
      </w:r>
      <w:r>
        <w:rPr>
          <w:rFonts w:ascii="Arial" w:hAnsi="Arial" w:cs="Arial"/>
        </w:rPr>
        <w:t>El Milagro</w:t>
      </w:r>
      <w:r w:rsidR="008D6190" w:rsidRPr="00F2630F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que permita el</w:t>
      </w:r>
      <w:r w:rsidR="008D6190" w:rsidRPr="00BA1662">
        <w:rPr>
          <w:rFonts w:ascii="Arial" w:hAnsi="Arial" w:cs="Arial"/>
        </w:rPr>
        <w:t xml:space="preserve"> logro de los objetivos estratégicos</w:t>
      </w:r>
      <w:r>
        <w:rPr>
          <w:rFonts w:ascii="Arial" w:hAnsi="Arial" w:cs="Arial"/>
        </w:rPr>
        <w:t xml:space="preserve"> y </w:t>
      </w:r>
      <w:r w:rsidR="00EF40CB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servicio educativo</w:t>
      </w:r>
      <w:r w:rsidR="00EF40CB">
        <w:rPr>
          <w:rFonts w:ascii="Arial" w:hAnsi="Arial" w:cs="Arial"/>
        </w:rPr>
        <w:t xml:space="preserve"> de calidad</w:t>
      </w:r>
      <w:r w:rsidR="008D6190" w:rsidRPr="00BA1662">
        <w:rPr>
          <w:rFonts w:ascii="Arial" w:hAnsi="Arial" w:cs="Arial"/>
        </w:rPr>
        <w:t>.</w:t>
      </w:r>
      <w:bookmarkEnd w:id="20"/>
    </w:p>
    <w:p w14:paraId="48DB99B2" w14:textId="77777777" w:rsidR="008D6190" w:rsidRPr="00F2630F" w:rsidRDefault="008D6190" w:rsidP="008D6190">
      <w:pPr>
        <w:pStyle w:val="Piedepgina"/>
        <w:spacing w:line="259" w:lineRule="auto"/>
        <w:ind w:left="567" w:hanging="425"/>
        <w:jc w:val="both"/>
        <w:outlineLvl w:val="1"/>
        <w:rPr>
          <w:rFonts w:ascii="Arial" w:hAnsi="Arial" w:cs="Arial"/>
          <w:b/>
          <w:lang w:val="es-MX"/>
        </w:rPr>
      </w:pPr>
    </w:p>
    <w:p w14:paraId="2BA41D01" w14:textId="77777777" w:rsidR="008D6190" w:rsidRPr="00F2630F" w:rsidRDefault="008D6190" w:rsidP="00BA1662">
      <w:pPr>
        <w:pStyle w:val="Ttulo1"/>
        <w:numPr>
          <w:ilvl w:val="1"/>
          <w:numId w:val="8"/>
        </w:numPr>
        <w:spacing w:before="0"/>
        <w:ind w:left="715" w:hanging="505"/>
        <w:jc w:val="both"/>
        <w:rPr>
          <w:rFonts w:cs="Arial"/>
          <w:sz w:val="22"/>
          <w:szCs w:val="22"/>
        </w:rPr>
      </w:pPr>
      <w:bookmarkStart w:id="21" w:name="_Toc106186125"/>
      <w:bookmarkStart w:id="22" w:name="_Toc162806436"/>
      <w:r w:rsidRPr="00F2630F">
        <w:rPr>
          <w:rFonts w:cs="Arial"/>
          <w:sz w:val="22"/>
          <w:szCs w:val="22"/>
        </w:rPr>
        <w:t>Objetivo Específicos:</w:t>
      </w:r>
      <w:bookmarkEnd w:id="21"/>
      <w:bookmarkEnd w:id="22"/>
    </w:p>
    <w:p w14:paraId="51F972F3" w14:textId="245A9960" w:rsidR="008D6190" w:rsidRPr="00BA1662" w:rsidRDefault="008D6190" w:rsidP="00BA166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</w:rPr>
      </w:pPr>
      <w:r w:rsidRPr="00BA1662">
        <w:rPr>
          <w:rFonts w:ascii="Arial" w:hAnsi="Arial" w:cs="Arial"/>
        </w:rPr>
        <w:t xml:space="preserve">Planificar las operaciones de la gestión académica </w:t>
      </w:r>
      <w:r w:rsidR="00B5050E">
        <w:rPr>
          <w:rFonts w:ascii="Arial" w:hAnsi="Arial" w:cs="Arial"/>
        </w:rPr>
        <w:t xml:space="preserve">y administrativa, </w:t>
      </w:r>
      <w:r w:rsidRPr="00BA1662">
        <w:rPr>
          <w:rFonts w:ascii="Arial" w:hAnsi="Arial" w:cs="Arial"/>
        </w:rPr>
        <w:t>a través de</w:t>
      </w:r>
      <w:r w:rsidR="00B5050E">
        <w:rPr>
          <w:rFonts w:ascii="Arial" w:hAnsi="Arial" w:cs="Arial"/>
        </w:rPr>
        <w:t xml:space="preserve"> </w:t>
      </w:r>
      <w:r w:rsidRPr="00BA1662">
        <w:rPr>
          <w:rFonts w:ascii="Arial" w:hAnsi="Arial" w:cs="Arial"/>
        </w:rPr>
        <w:t>l</w:t>
      </w:r>
      <w:r w:rsidR="00B5050E">
        <w:rPr>
          <w:rFonts w:ascii="Arial" w:hAnsi="Arial" w:cs="Arial"/>
        </w:rPr>
        <w:t>a</w:t>
      </w:r>
      <w:r w:rsidRPr="00BA1662">
        <w:rPr>
          <w:rFonts w:ascii="Arial" w:hAnsi="Arial" w:cs="Arial"/>
        </w:rPr>
        <w:t xml:space="preserve"> </w:t>
      </w:r>
      <w:r w:rsidR="00B5050E">
        <w:rPr>
          <w:rFonts w:ascii="Arial" w:hAnsi="Arial" w:cs="Arial"/>
        </w:rPr>
        <w:t xml:space="preserve">definición </w:t>
      </w:r>
      <w:r w:rsidRPr="00BA1662">
        <w:rPr>
          <w:rFonts w:ascii="Arial" w:hAnsi="Arial" w:cs="Arial"/>
        </w:rPr>
        <w:t xml:space="preserve">de actividades </w:t>
      </w:r>
      <w:r w:rsidR="00B5050E">
        <w:rPr>
          <w:rFonts w:ascii="Arial" w:hAnsi="Arial" w:cs="Arial"/>
        </w:rPr>
        <w:t>para e</w:t>
      </w:r>
      <w:r w:rsidRPr="00BA1662">
        <w:rPr>
          <w:rFonts w:ascii="Arial" w:hAnsi="Arial" w:cs="Arial"/>
        </w:rPr>
        <w:t>l logro de los objetivos estratégicos.</w:t>
      </w:r>
    </w:p>
    <w:p w14:paraId="3F355DC5" w14:textId="76D0CC74" w:rsidR="00AF126F" w:rsidRPr="002A46DF" w:rsidRDefault="008D6190" w:rsidP="002A46DF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</w:rPr>
      </w:pPr>
      <w:r w:rsidRPr="00BA1662">
        <w:rPr>
          <w:rFonts w:ascii="Arial" w:hAnsi="Arial" w:cs="Arial"/>
        </w:rPr>
        <w:t xml:space="preserve">Asignar a los responsables de la ejecución de las actividades y </w:t>
      </w:r>
      <w:r w:rsidR="00CF0964">
        <w:rPr>
          <w:rFonts w:ascii="Arial" w:hAnsi="Arial" w:cs="Arial"/>
        </w:rPr>
        <w:t xml:space="preserve">definir </w:t>
      </w:r>
      <w:r w:rsidR="00C97A89">
        <w:rPr>
          <w:rFonts w:ascii="Arial" w:hAnsi="Arial" w:cs="Arial"/>
        </w:rPr>
        <w:t xml:space="preserve">los </w:t>
      </w:r>
      <w:r w:rsidR="00C97A89" w:rsidRPr="00792F56">
        <w:rPr>
          <w:rFonts w:ascii="Arial" w:hAnsi="Arial" w:cs="Arial"/>
        </w:rPr>
        <w:t>presupuestos</w:t>
      </w:r>
      <w:r w:rsidR="00CF0964">
        <w:rPr>
          <w:rFonts w:ascii="Arial" w:hAnsi="Arial" w:cs="Arial"/>
        </w:rPr>
        <w:t xml:space="preserve"> y recursos que se requieren</w:t>
      </w:r>
      <w:r w:rsidRPr="00BA1662">
        <w:rPr>
          <w:rFonts w:ascii="Arial" w:hAnsi="Arial" w:cs="Arial"/>
        </w:rPr>
        <w:t>.</w:t>
      </w:r>
    </w:p>
    <w:p w14:paraId="7D5B1BE4" w14:textId="77777777" w:rsidR="00AF126F" w:rsidRDefault="00AF126F" w:rsidP="005C1A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B49E50D" w14:textId="77777777" w:rsidR="00AF126F" w:rsidRDefault="00AF126F" w:rsidP="005C1A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CE4FADD" w14:textId="77777777" w:rsidR="00AF126F" w:rsidRDefault="00AF126F" w:rsidP="005C1A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778D3A5" w14:textId="77777777" w:rsidR="00AF126F" w:rsidRDefault="00AF126F" w:rsidP="005C1A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15C0EDF" w14:textId="77777777" w:rsidR="00AF126F" w:rsidRDefault="00AF126F" w:rsidP="005C1A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3B3681E" w14:textId="42D1477B" w:rsidR="00AF126F" w:rsidRDefault="00AF126F" w:rsidP="00BA16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1B018FD" w14:textId="4C3F62B3" w:rsidR="006167AE" w:rsidRDefault="006167AE" w:rsidP="00BA16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6BA442B" w14:textId="77777777" w:rsidR="00D148FD" w:rsidRPr="00BA1662" w:rsidRDefault="00D148FD" w:rsidP="00BA1662">
      <w:pPr>
        <w:jc w:val="both"/>
        <w:rPr>
          <w:rFonts w:ascii="Arial" w:hAnsi="Arial" w:cs="Arial"/>
          <w:sz w:val="24"/>
          <w:szCs w:val="24"/>
          <w:lang w:val="es-ES"/>
        </w:rPr>
        <w:sectPr w:rsidR="00D148FD" w:rsidRPr="00BA1662" w:rsidSect="00151406"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4ADF7FB" w14:textId="77777777" w:rsidR="005C1AE0" w:rsidRDefault="005B6A75" w:rsidP="008E7485">
      <w:pPr>
        <w:pStyle w:val="Ttulo1"/>
        <w:numPr>
          <w:ilvl w:val="0"/>
          <w:numId w:val="10"/>
        </w:numPr>
        <w:rPr>
          <w:b/>
          <w:bCs/>
          <w:lang w:val="es-ES"/>
        </w:rPr>
      </w:pPr>
      <w:bookmarkStart w:id="23" w:name="_Toc162806437"/>
      <w:r w:rsidRPr="005B6A75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24F5F0A" wp14:editId="10815546">
            <wp:simplePos x="0" y="0"/>
            <wp:positionH relativeFrom="column">
              <wp:posOffset>-652780</wp:posOffset>
            </wp:positionH>
            <wp:positionV relativeFrom="paragraph">
              <wp:posOffset>310515</wp:posOffset>
            </wp:positionV>
            <wp:extent cx="10086975" cy="4476750"/>
            <wp:effectExtent l="0" t="0" r="9525" b="0"/>
            <wp:wrapTight wrapText="bothSides">
              <wp:wrapPolygon edited="0">
                <wp:start x="0" y="0"/>
                <wp:lineTo x="0" y="21508"/>
                <wp:lineTo x="20723" y="21508"/>
                <wp:lineTo x="21580" y="20773"/>
                <wp:lineTo x="21580" y="20589"/>
                <wp:lineTo x="20723" y="20589"/>
                <wp:lineTo x="21580" y="19578"/>
                <wp:lineTo x="21580" y="18291"/>
                <wp:lineTo x="20723" y="17648"/>
                <wp:lineTo x="21580" y="17188"/>
                <wp:lineTo x="21580" y="15258"/>
                <wp:lineTo x="20723" y="14706"/>
                <wp:lineTo x="21580" y="14063"/>
                <wp:lineTo x="21580" y="12041"/>
                <wp:lineTo x="20723" y="11765"/>
                <wp:lineTo x="21580" y="11306"/>
                <wp:lineTo x="21580" y="10754"/>
                <wp:lineTo x="20723" y="10294"/>
                <wp:lineTo x="21580" y="10019"/>
                <wp:lineTo x="21580" y="9375"/>
                <wp:lineTo x="20723" y="8824"/>
                <wp:lineTo x="21580" y="8180"/>
                <wp:lineTo x="21580" y="7997"/>
                <wp:lineTo x="20723" y="7353"/>
                <wp:lineTo x="21580" y="7077"/>
                <wp:lineTo x="21580" y="5974"/>
                <wp:lineTo x="20723" y="5883"/>
                <wp:lineTo x="20723" y="4412"/>
                <wp:lineTo x="21580" y="4320"/>
                <wp:lineTo x="21580" y="3309"/>
                <wp:lineTo x="20723" y="2941"/>
                <wp:lineTo x="21580" y="2574"/>
                <wp:lineTo x="21580" y="2482"/>
                <wp:lineTo x="20723" y="1471"/>
                <wp:lineTo x="21580" y="1195"/>
                <wp:lineTo x="2158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9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E0" w:rsidRPr="008E7485">
        <w:rPr>
          <w:b/>
          <w:bCs/>
          <w:lang w:val="es-ES"/>
        </w:rPr>
        <w:t>PLAN DE TRABAJO 2024 DE LA INSTITUCIÓN:</w:t>
      </w:r>
      <w:bookmarkEnd w:id="23"/>
    </w:p>
    <w:p w14:paraId="16FB4C6F" w14:textId="1E230134" w:rsidR="005B6A75" w:rsidRDefault="005B6A75" w:rsidP="00BA1662">
      <w:pPr>
        <w:rPr>
          <w:lang w:val="es-ES"/>
        </w:rPr>
      </w:pPr>
    </w:p>
    <w:p w14:paraId="00CB4578" w14:textId="3B3DB186" w:rsidR="005B6A75" w:rsidRDefault="005B6A75" w:rsidP="00BA1662">
      <w:pPr>
        <w:rPr>
          <w:lang w:val="es-ES"/>
        </w:rPr>
      </w:pPr>
    </w:p>
    <w:p w14:paraId="4B7F9469" w14:textId="2885689D" w:rsidR="005B6A75" w:rsidRPr="00BA1662" w:rsidRDefault="005B6A75" w:rsidP="00BA1662">
      <w:pPr>
        <w:rPr>
          <w:lang w:val="es-ES"/>
        </w:rPr>
      </w:pPr>
    </w:p>
    <w:p w14:paraId="05F36D68" w14:textId="5FC6E251" w:rsidR="001657D0" w:rsidRDefault="006167AE" w:rsidP="00BA1662">
      <w:pPr>
        <w:rPr>
          <w:lang w:val="es-ES"/>
        </w:rPr>
      </w:pPr>
      <w:r w:rsidRPr="00FA61F3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D7CDA8D" wp14:editId="6029ED9D">
            <wp:simplePos x="0" y="0"/>
            <wp:positionH relativeFrom="margin">
              <wp:align>center</wp:align>
            </wp:positionH>
            <wp:positionV relativeFrom="paragraph">
              <wp:posOffset>3548380</wp:posOffset>
            </wp:positionV>
            <wp:extent cx="1016317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0730" y="21398"/>
                <wp:lineTo x="21580" y="19581"/>
                <wp:lineTo x="21580" y="17361"/>
                <wp:lineTo x="20730" y="16150"/>
                <wp:lineTo x="21580" y="15948"/>
                <wp:lineTo x="21580" y="13323"/>
                <wp:lineTo x="20730" y="12920"/>
                <wp:lineTo x="21580" y="12112"/>
                <wp:lineTo x="21580" y="11910"/>
                <wp:lineTo x="20730" y="9690"/>
                <wp:lineTo x="21580" y="7873"/>
                <wp:lineTo x="21580" y="7469"/>
                <wp:lineTo x="20730" y="6460"/>
                <wp:lineTo x="21580" y="5450"/>
                <wp:lineTo x="21580" y="5047"/>
                <wp:lineTo x="20730" y="3230"/>
                <wp:lineTo x="21580" y="2826"/>
                <wp:lineTo x="21580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7AE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06645373" wp14:editId="3E9B99E7">
            <wp:simplePos x="0" y="0"/>
            <wp:positionH relativeFrom="margin">
              <wp:posOffset>-614680</wp:posOffset>
            </wp:positionH>
            <wp:positionV relativeFrom="paragraph">
              <wp:posOffset>0</wp:posOffset>
            </wp:positionV>
            <wp:extent cx="10058400" cy="3252470"/>
            <wp:effectExtent l="0" t="0" r="0" b="5080"/>
            <wp:wrapTight wrapText="bothSides">
              <wp:wrapPolygon edited="0">
                <wp:start x="0" y="0"/>
                <wp:lineTo x="0" y="21507"/>
                <wp:lineTo x="20700" y="21507"/>
                <wp:lineTo x="21559" y="20495"/>
                <wp:lineTo x="21559" y="20242"/>
                <wp:lineTo x="20700" y="20242"/>
                <wp:lineTo x="21559" y="19483"/>
                <wp:lineTo x="21559" y="18218"/>
                <wp:lineTo x="20700" y="18218"/>
                <wp:lineTo x="21559" y="17712"/>
                <wp:lineTo x="21559" y="17585"/>
                <wp:lineTo x="20700" y="16194"/>
                <wp:lineTo x="21559" y="15941"/>
                <wp:lineTo x="21559" y="14169"/>
                <wp:lineTo x="20700" y="14169"/>
                <wp:lineTo x="21559" y="13663"/>
                <wp:lineTo x="21559" y="12778"/>
                <wp:lineTo x="20700" y="12145"/>
                <wp:lineTo x="21559" y="11386"/>
                <wp:lineTo x="21559" y="10121"/>
                <wp:lineTo x="20700" y="10121"/>
                <wp:lineTo x="21109" y="9488"/>
                <wp:lineTo x="21109" y="8982"/>
                <wp:lineTo x="20700" y="8097"/>
                <wp:lineTo x="21559" y="8097"/>
                <wp:lineTo x="21559" y="4048"/>
                <wp:lineTo x="20700" y="4048"/>
                <wp:lineTo x="21559" y="2530"/>
                <wp:lineTo x="21559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F690D" w14:textId="278B5C04" w:rsidR="001657D0" w:rsidRPr="00BA1662" w:rsidRDefault="001657D0" w:rsidP="00BA1662">
      <w:pPr>
        <w:rPr>
          <w:lang w:val="es-ES"/>
        </w:rPr>
      </w:pPr>
    </w:p>
    <w:p w14:paraId="042B710E" w14:textId="5B3D9618" w:rsidR="00FA61F3" w:rsidRDefault="00FA61F3" w:rsidP="008E7485">
      <w:pPr>
        <w:rPr>
          <w:lang w:val="es-ES"/>
        </w:rPr>
      </w:pPr>
    </w:p>
    <w:p w14:paraId="318BDF65" w14:textId="488F07D7" w:rsidR="00062A94" w:rsidRDefault="00062A94">
      <w:pPr>
        <w:rPr>
          <w:rFonts w:ascii="Arial" w:hAnsi="Arial" w:cs="Arial"/>
          <w:sz w:val="24"/>
          <w:szCs w:val="24"/>
        </w:rPr>
      </w:pPr>
      <w:r w:rsidRPr="00FA61F3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B1ACF04" wp14:editId="13D0DB1C">
            <wp:simplePos x="0" y="0"/>
            <wp:positionH relativeFrom="column">
              <wp:posOffset>-687070</wp:posOffset>
            </wp:positionH>
            <wp:positionV relativeFrom="paragraph">
              <wp:posOffset>19050</wp:posOffset>
            </wp:positionV>
            <wp:extent cx="10313035" cy="6436360"/>
            <wp:effectExtent l="19050" t="19050" r="12065" b="21590"/>
            <wp:wrapTight wrapText="bothSides">
              <wp:wrapPolygon edited="0">
                <wp:start x="-40" y="-64"/>
                <wp:lineTo x="-40" y="21609"/>
                <wp:lineTo x="21585" y="21609"/>
                <wp:lineTo x="21585" y="-64"/>
                <wp:lineTo x="-40" y="-64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035" cy="6436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55F4E" w14:textId="74150704" w:rsidR="00062A94" w:rsidRDefault="00062A94">
      <w:pPr>
        <w:rPr>
          <w:rFonts w:ascii="Arial" w:hAnsi="Arial" w:cs="Arial"/>
          <w:sz w:val="24"/>
          <w:szCs w:val="24"/>
        </w:rPr>
      </w:pPr>
    </w:p>
    <w:p w14:paraId="2ACF10E4" w14:textId="178EC863" w:rsidR="005F5AD0" w:rsidRPr="005C1AE0" w:rsidRDefault="00062A94">
      <w:pPr>
        <w:rPr>
          <w:rFonts w:ascii="Arial" w:hAnsi="Arial" w:cs="Arial"/>
          <w:sz w:val="24"/>
          <w:szCs w:val="24"/>
        </w:rPr>
      </w:pPr>
      <w:r w:rsidRPr="00FA61F3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7E199D3A" wp14:editId="2327106C">
            <wp:simplePos x="0" y="0"/>
            <wp:positionH relativeFrom="margin">
              <wp:posOffset>-697230</wp:posOffset>
            </wp:positionH>
            <wp:positionV relativeFrom="paragraph">
              <wp:posOffset>0</wp:posOffset>
            </wp:positionV>
            <wp:extent cx="10191750" cy="2277110"/>
            <wp:effectExtent l="0" t="0" r="0" b="8890"/>
            <wp:wrapTight wrapText="bothSides">
              <wp:wrapPolygon edited="0">
                <wp:start x="0" y="0"/>
                <wp:lineTo x="0" y="21504"/>
                <wp:lineTo x="20712" y="21504"/>
                <wp:lineTo x="20712" y="20239"/>
                <wp:lineTo x="21560" y="18612"/>
                <wp:lineTo x="21560" y="18251"/>
                <wp:lineTo x="20712" y="17347"/>
                <wp:lineTo x="21560" y="16986"/>
                <wp:lineTo x="21560" y="16805"/>
                <wp:lineTo x="20712" y="14456"/>
                <wp:lineTo x="21560" y="14456"/>
                <wp:lineTo x="21560" y="12288"/>
                <wp:lineTo x="20712" y="11565"/>
                <wp:lineTo x="21560" y="11565"/>
                <wp:lineTo x="21560" y="9577"/>
                <wp:lineTo x="20712" y="8674"/>
                <wp:lineTo x="21560" y="7409"/>
                <wp:lineTo x="21560" y="7047"/>
                <wp:lineTo x="20712" y="5782"/>
                <wp:lineTo x="21560" y="4879"/>
                <wp:lineTo x="21560" y="4518"/>
                <wp:lineTo x="20712" y="2891"/>
                <wp:lineTo x="21560" y="2349"/>
                <wp:lineTo x="2156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AD0" w:rsidRPr="005C1AE0" w:rsidSect="00BA1662">
      <w:pgSz w:w="16838" w:h="11906" w:orient="landscape"/>
      <w:pgMar w:top="426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B494B" w14:textId="77777777" w:rsidR="00A457A7" w:rsidRDefault="00A457A7" w:rsidP="00151406">
      <w:pPr>
        <w:spacing w:after="0" w:line="240" w:lineRule="auto"/>
      </w:pPr>
      <w:r>
        <w:separator/>
      </w:r>
    </w:p>
  </w:endnote>
  <w:endnote w:type="continuationSeparator" w:id="0">
    <w:p w14:paraId="6D3E6751" w14:textId="77777777" w:rsidR="00A457A7" w:rsidRDefault="00A457A7" w:rsidP="0015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melight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901933"/>
      <w:docPartObj>
        <w:docPartGallery w:val="Page Numbers (Bottom of Page)"/>
        <w:docPartUnique/>
      </w:docPartObj>
    </w:sdtPr>
    <w:sdtEndPr/>
    <w:sdtContent>
      <w:p w14:paraId="1F013531" w14:textId="685574EA" w:rsidR="005B6A75" w:rsidRDefault="005B6A7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4C8" w:rsidRPr="002264C8">
          <w:rPr>
            <w:noProof/>
            <w:lang w:val="es-ES"/>
          </w:rPr>
          <w:t>10</w:t>
        </w:r>
        <w:r>
          <w:fldChar w:fldCharType="end"/>
        </w:r>
      </w:p>
    </w:sdtContent>
  </w:sdt>
  <w:p w14:paraId="0C625B7E" w14:textId="77777777" w:rsidR="005B6A75" w:rsidRDefault="005B6A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FA3D8" w14:textId="77777777" w:rsidR="00A457A7" w:rsidRDefault="00A457A7" w:rsidP="00151406">
      <w:pPr>
        <w:spacing w:after="0" w:line="240" w:lineRule="auto"/>
      </w:pPr>
      <w:r>
        <w:separator/>
      </w:r>
    </w:p>
  </w:footnote>
  <w:footnote w:type="continuationSeparator" w:id="0">
    <w:p w14:paraId="41B4D319" w14:textId="77777777" w:rsidR="00A457A7" w:rsidRDefault="00A457A7" w:rsidP="0015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3646"/>
    <w:multiLevelType w:val="hybridMultilevel"/>
    <w:tmpl w:val="762288FA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2526"/>
    <w:multiLevelType w:val="multilevel"/>
    <w:tmpl w:val="E358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42"/>
        </w:tabs>
        <w:ind w:left="514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2" w15:restartNumberingAfterBreak="0">
    <w:nsid w:val="1A00156E"/>
    <w:multiLevelType w:val="hybridMultilevel"/>
    <w:tmpl w:val="6072936E"/>
    <w:lvl w:ilvl="0" w:tplc="14AEA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48A6"/>
    <w:multiLevelType w:val="hybridMultilevel"/>
    <w:tmpl w:val="5B761382"/>
    <w:lvl w:ilvl="0" w:tplc="AB0EBF2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D27"/>
    <w:multiLevelType w:val="multilevel"/>
    <w:tmpl w:val="6C2653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BAB0C5D"/>
    <w:multiLevelType w:val="hybridMultilevel"/>
    <w:tmpl w:val="1268694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39285D"/>
    <w:multiLevelType w:val="hybridMultilevel"/>
    <w:tmpl w:val="712044EA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1B6F84"/>
    <w:multiLevelType w:val="multilevel"/>
    <w:tmpl w:val="B812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B6A1A"/>
    <w:multiLevelType w:val="hybridMultilevel"/>
    <w:tmpl w:val="478AEF6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EAB"/>
    <w:multiLevelType w:val="multilevel"/>
    <w:tmpl w:val="23DC27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2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5C0FFF"/>
    <w:multiLevelType w:val="hybridMultilevel"/>
    <w:tmpl w:val="29D2CE2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77D10"/>
    <w:multiLevelType w:val="hybridMultilevel"/>
    <w:tmpl w:val="7FEE2ABE"/>
    <w:lvl w:ilvl="0" w:tplc="B3B2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A1A58"/>
    <w:multiLevelType w:val="hybridMultilevel"/>
    <w:tmpl w:val="96DA924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94F30"/>
    <w:multiLevelType w:val="hybridMultilevel"/>
    <w:tmpl w:val="C1345F1A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C202A"/>
    <w:multiLevelType w:val="hybridMultilevel"/>
    <w:tmpl w:val="9F588CC6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47549">
    <w:abstractNumId w:val="14"/>
  </w:num>
  <w:num w:numId="2" w16cid:durableId="1496336419">
    <w:abstractNumId w:val="10"/>
  </w:num>
  <w:num w:numId="3" w16cid:durableId="61801847">
    <w:abstractNumId w:val="2"/>
  </w:num>
  <w:num w:numId="4" w16cid:durableId="146898034">
    <w:abstractNumId w:val="7"/>
  </w:num>
  <w:num w:numId="5" w16cid:durableId="2095005621">
    <w:abstractNumId w:val="13"/>
  </w:num>
  <w:num w:numId="6" w16cid:durableId="83066016">
    <w:abstractNumId w:val="8"/>
  </w:num>
  <w:num w:numId="7" w16cid:durableId="884214790">
    <w:abstractNumId w:val="0"/>
  </w:num>
  <w:num w:numId="8" w16cid:durableId="228266703">
    <w:abstractNumId w:val="4"/>
  </w:num>
  <w:num w:numId="9" w16cid:durableId="1595936525">
    <w:abstractNumId w:val="12"/>
  </w:num>
  <w:num w:numId="10" w16cid:durableId="1081489572">
    <w:abstractNumId w:val="3"/>
  </w:num>
  <w:num w:numId="11" w16cid:durableId="446046587">
    <w:abstractNumId w:val="1"/>
  </w:num>
  <w:num w:numId="12" w16cid:durableId="1245261249">
    <w:abstractNumId w:val="9"/>
  </w:num>
  <w:num w:numId="13" w16cid:durableId="1964387774">
    <w:abstractNumId w:val="11"/>
  </w:num>
  <w:num w:numId="14" w16cid:durableId="1956519763">
    <w:abstractNumId w:val="5"/>
  </w:num>
  <w:num w:numId="15" w16cid:durableId="2634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FE"/>
    <w:rsid w:val="000003A8"/>
    <w:rsid w:val="00012C11"/>
    <w:rsid w:val="000147C9"/>
    <w:rsid w:val="0001594E"/>
    <w:rsid w:val="000211B1"/>
    <w:rsid w:val="00022253"/>
    <w:rsid w:val="00062A94"/>
    <w:rsid w:val="00072A7E"/>
    <w:rsid w:val="00077A59"/>
    <w:rsid w:val="00091855"/>
    <w:rsid w:val="000A33D9"/>
    <w:rsid w:val="000E1750"/>
    <w:rsid w:val="0010617A"/>
    <w:rsid w:val="00110C2E"/>
    <w:rsid w:val="001135C7"/>
    <w:rsid w:val="00116589"/>
    <w:rsid w:val="00145572"/>
    <w:rsid w:val="00151406"/>
    <w:rsid w:val="00154B86"/>
    <w:rsid w:val="00161369"/>
    <w:rsid w:val="00163006"/>
    <w:rsid w:val="001657D0"/>
    <w:rsid w:val="0017679A"/>
    <w:rsid w:val="00196329"/>
    <w:rsid w:val="001C7330"/>
    <w:rsid w:val="001D1475"/>
    <w:rsid w:val="001D306F"/>
    <w:rsid w:val="001F12B2"/>
    <w:rsid w:val="00201A3E"/>
    <w:rsid w:val="00202109"/>
    <w:rsid w:val="00210C38"/>
    <w:rsid w:val="00211E6D"/>
    <w:rsid w:val="002264C8"/>
    <w:rsid w:val="00227C0B"/>
    <w:rsid w:val="002449CE"/>
    <w:rsid w:val="0024623A"/>
    <w:rsid w:val="002521FD"/>
    <w:rsid w:val="002843F3"/>
    <w:rsid w:val="00292F1A"/>
    <w:rsid w:val="002941A9"/>
    <w:rsid w:val="00297DEF"/>
    <w:rsid w:val="002A00C9"/>
    <w:rsid w:val="002A14AD"/>
    <w:rsid w:val="002A46DF"/>
    <w:rsid w:val="002B4100"/>
    <w:rsid w:val="002D43AD"/>
    <w:rsid w:val="002E7153"/>
    <w:rsid w:val="0030314A"/>
    <w:rsid w:val="003133FF"/>
    <w:rsid w:val="00325FF0"/>
    <w:rsid w:val="003407F4"/>
    <w:rsid w:val="00340F69"/>
    <w:rsid w:val="00370EE3"/>
    <w:rsid w:val="00374869"/>
    <w:rsid w:val="003933DC"/>
    <w:rsid w:val="003A2E6F"/>
    <w:rsid w:val="003D086A"/>
    <w:rsid w:val="003E5A37"/>
    <w:rsid w:val="003F0718"/>
    <w:rsid w:val="003F0AAC"/>
    <w:rsid w:val="003F217E"/>
    <w:rsid w:val="004169AB"/>
    <w:rsid w:val="0041769F"/>
    <w:rsid w:val="0042409D"/>
    <w:rsid w:val="00431C9D"/>
    <w:rsid w:val="004406EC"/>
    <w:rsid w:val="00460EF3"/>
    <w:rsid w:val="004858FB"/>
    <w:rsid w:val="00490FDD"/>
    <w:rsid w:val="004943B4"/>
    <w:rsid w:val="004950FA"/>
    <w:rsid w:val="004A54BC"/>
    <w:rsid w:val="004A6650"/>
    <w:rsid w:val="004C11A5"/>
    <w:rsid w:val="004D5EDB"/>
    <w:rsid w:val="004F29D6"/>
    <w:rsid w:val="00514558"/>
    <w:rsid w:val="0052147D"/>
    <w:rsid w:val="00521481"/>
    <w:rsid w:val="005233EE"/>
    <w:rsid w:val="0054674D"/>
    <w:rsid w:val="00547801"/>
    <w:rsid w:val="005524C3"/>
    <w:rsid w:val="00556561"/>
    <w:rsid w:val="00572A85"/>
    <w:rsid w:val="00580469"/>
    <w:rsid w:val="00581F11"/>
    <w:rsid w:val="0058492B"/>
    <w:rsid w:val="005A6662"/>
    <w:rsid w:val="005A6E7E"/>
    <w:rsid w:val="005B6A75"/>
    <w:rsid w:val="005C1AE0"/>
    <w:rsid w:val="005D52C5"/>
    <w:rsid w:val="005E1076"/>
    <w:rsid w:val="005F5AD0"/>
    <w:rsid w:val="00611DC9"/>
    <w:rsid w:val="0061558E"/>
    <w:rsid w:val="006167AE"/>
    <w:rsid w:val="006170BB"/>
    <w:rsid w:val="00636C93"/>
    <w:rsid w:val="00642952"/>
    <w:rsid w:val="006521FA"/>
    <w:rsid w:val="006703A5"/>
    <w:rsid w:val="00680FE2"/>
    <w:rsid w:val="00687E53"/>
    <w:rsid w:val="006B0F6F"/>
    <w:rsid w:val="006B6214"/>
    <w:rsid w:val="006C13B5"/>
    <w:rsid w:val="006F2485"/>
    <w:rsid w:val="006F6581"/>
    <w:rsid w:val="00702B6C"/>
    <w:rsid w:val="007133A1"/>
    <w:rsid w:val="00713CEB"/>
    <w:rsid w:val="0071531E"/>
    <w:rsid w:val="00741436"/>
    <w:rsid w:val="00744D16"/>
    <w:rsid w:val="0074525E"/>
    <w:rsid w:val="00754800"/>
    <w:rsid w:val="00761C2B"/>
    <w:rsid w:val="007717B4"/>
    <w:rsid w:val="007911FE"/>
    <w:rsid w:val="007912CD"/>
    <w:rsid w:val="00792F56"/>
    <w:rsid w:val="007A559F"/>
    <w:rsid w:val="007B0AC3"/>
    <w:rsid w:val="007B20EE"/>
    <w:rsid w:val="007B224F"/>
    <w:rsid w:val="007B5E60"/>
    <w:rsid w:val="007B628F"/>
    <w:rsid w:val="007C57D5"/>
    <w:rsid w:val="007E49FF"/>
    <w:rsid w:val="007F25D3"/>
    <w:rsid w:val="00802501"/>
    <w:rsid w:val="00814F83"/>
    <w:rsid w:val="008317A9"/>
    <w:rsid w:val="008427CA"/>
    <w:rsid w:val="00862A1A"/>
    <w:rsid w:val="00865445"/>
    <w:rsid w:val="00866CD0"/>
    <w:rsid w:val="00870F0D"/>
    <w:rsid w:val="00893C48"/>
    <w:rsid w:val="008A000E"/>
    <w:rsid w:val="008D4057"/>
    <w:rsid w:val="008D6190"/>
    <w:rsid w:val="008E7485"/>
    <w:rsid w:val="008F4452"/>
    <w:rsid w:val="00903875"/>
    <w:rsid w:val="00906E56"/>
    <w:rsid w:val="00911E1F"/>
    <w:rsid w:val="009227C2"/>
    <w:rsid w:val="009455B0"/>
    <w:rsid w:val="009526A8"/>
    <w:rsid w:val="00960FFF"/>
    <w:rsid w:val="009671FE"/>
    <w:rsid w:val="009A3BD7"/>
    <w:rsid w:val="009B1215"/>
    <w:rsid w:val="009B68CF"/>
    <w:rsid w:val="00A13F26"/>
    <w:rsid w:val="00A23FA3"/>
    <w:rsid w:val="00A30ACE"/>
    <w:rsid w:val="00A340E4"/>
    <w:rsid w:val="00A44360"/>
    <w:rsid w:val="00A457A7"/>
    <w:rsid w:val="00A53365"/>
    <w:rsid w:val="00A60914"/>
    <w:rsid w:val="00A64B66"/>
    <w:rsid w:val="00A65242"/>
    <w:rsid w:val="00A66A95"/>
    <w:rsid w:val="00A73CF4"/>
    <w:rsid w:val="00A862E5"/>
    <w:rsid w:val="00A922B6"/>
    <w:rsid w:val="00A92DE6"/>
    <w:rsid w:val="00AB2D1C"/>
    <w:rsid w:val="00AB619D"/>
    <w:rsid w:val="00AC1C20"/>
    <w:rsid w:val="00AE5715"/>
    <w:rsid w:val="00AF0501"/>
    <w:rsid w:val="00AF126F"/>
    <w:rsid w:val="00AF39C7"/>
    <w:rsid w:val="00AF5D8F"/>
    <w:rsid w:val="00B040F7"/>
    <w:rsid w:val="00B04EB1"/>
    <w:rsid w:val="00B11C62"/>
    <w:rsid w:val="00B2160E"/>
    <w:rsid w:val="00B238AE"/>
    <w:rsid w:val="00B2635C"/>
    <w:rsid w:val="00B5050E"/>
    <w:rsid w:val="00B63D88"/>
    <w:rsid w:val="00B7076A"/>
    <w:rsid w:val="00B729DA"/>
    <w:rsid w:val="00B748E6"/>
    <w:rsid w:val="00B82559"/>
    <w:rsid w:val="00BA1662"/>
    <w:rsid w:val="00BA3E0D"/>
    <w:rsid w:val="00BF67C2"/>
    <w:rsid w:val="00C1042A"/>
    <w:rsid w:val="00C368B0"/>
    <w:rsid w:val="00C5463E"/>
    <w:rsid w:val="00C726F6"/>
    <w:rsid w:val="00C8232B"/>
    <w:rsid w:val="00C97A89"/>
    <w:rsid w:val="00CB43AF"/>
    <w:rsid w:val="00CC0BBB"/>
    <w:rsid w:val="00CF0964"/>
    <w:rsid w:val="00CF153F"/>
    <w:rsid w:val="00D00805"/>
    <w:rsid w:val="00D10185"/>
    <w:rsid w:val="00D10B8D"/>
    <w:rsid w:val="00D148FD"/>
    <w:rsid w:val="00D222E9"/>
    <w:rsid w:val="00D26E0B"/>
    <w:rsid w:val="00D604A3"/>
    <w:rsid w:val="00D935A2"/>
    <w:rsid w:val="00D96360"/>
    <w:rsid w:val="00DA457E"/>
    <w:rsid w:val="00DD13D7"/>
    <w:rsid w:val="00DD2B05"/>
    <w:rsid w:val="00DE1D2E"/>
    <w:rsid w:val="00DF18D1"/>
    <w:rsid w:val="00DF5B4F"/>
    <w:rsid w:val="00E22B4F"/>
    <w:rsid w:val="00E26506"/>
    <w:rsid w:val="00E3668D"/>
    <w:rsid w:val="00E46523"/>
    <w:rsid w:val="00E55809"/>
    <w:rsid w:val="00E61A68"/>
    <w:rsid w:val="00E70B36"/>
    <w:rsid w:val="00E83E55"/>
    <w:rsid w:val="00E87A26"/>
    <w:rsid w:val="00E95AD2"/>
    <w:rsid w:val="00EA0718"/>
    <w:rsid w:val="00EA42EE"/>
    <w:rsid w:val="00EA432B"/>
    <w:rsid w:val="00EB3DAB"/>
    <w:rsid w:val="00EC37DD"/>
    <w:rsid w:val="00ED5FF3"/>
    <w:rsid w:val="00EE0F9D"/>
    <w:rsid w:val="00EE59C2"/>
    <w:rsid w:val="00EE7BBD"/>
    <w:rsid w:val="00EF334E"/>
    <w:rsid w:val="00EF40CB"/>
    <w:rsid w:val="00EF6954"/>
    <w:rsid w:val="00F00003"/>
    <w:rsid w:val="00F00AE8"/>
    <w:rsid w:val="00F14508"/>
    <w:rsid w:val="00F2630F"/>
    <w:rsid w:val="00F265C8"/>
    <w:rsid w:val="00F55946"/>
    <w:rsid w:val="00F600F6"/>
    <w:rsid w:val="00F81E2C"/>
    <w:rsid w:val="00F869A1"/>
    <w:rsid w:val="00F96667"/>
    <w:rsid w:val="00FA5AA6"/>
    <w:rsid w:val="00FA61F3"/>
    <w:rsid w:val="00FC5545"/>
    <w:rsid w:val="00FC5DFE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FED91"/>
  <w15:chartTrackingRefBased/>
  <w15:docId w15:val="{DF26EAD7-B49C-41E2-8F57-8903157C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54"/>
  </w:style>
  <w:style w:type="paragraph" w:styleId="Ttulo1">
    <w:name w:val="heading 1"/>
    <w:basedOn w:val="Normal"/>
    <w:next w:val="Normal"/>
    <w:link w:val="Ttulo1Car"/>
    <w:uiPriority w:val="9"/>
    <w:qFormat/>
    <w:rsid w:val="008E7485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Lista vistosa - Énfasis 11,Lista media 2 - Énfasis 41,N°,SubPárrafo de lista,Cuadro 2-1,Párrafo de lista2,Footnote,List Paragraph1,Titulo de Fígura,Lista 123,Cita Pie de Página,titulo,paul2,Bolita,BOLA,Guión"/>
    <w:basedOn w:val="Normal"/>
    <w:link w:val="PrrafodelistaCar"/>
    <w:uiPriority w:val="34"/>
    <w:qFormat/>
    <w:rsid w:val="0015140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51406"/>
    <w:pPr>
      <w:spacing w:after="0" w:line="240" w:lineRule="auto"/>
    </w:pPr>
    <w:rPr>
      <w:rFonts w:ascii="Calibri" w:eastAsia="Calibri" w:hAnsi="Calibri" w:cs="Calibri"/>
      <w:lang w:eastAsia="es-PE"/>
    </w:rPr>
  </w:style>
  <w:style w:type="character" w:customStyle="1" w:styleId="SinespaciadoCar">
    <w:name w:val="Sin espaciado Car"/>
    <w:link w:val="Sinespaciado"/>
    <w:uiPriority w:val="1"/>
    <w:rsid w:val="00151406"/>
    <w:rPr>
      <w:rFonts w:ascii="Calibri" w:eastAsia="Calibri" w:hAnsi="Calibri" w:cs="Calibri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51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406"/>
  </w:style>
  <w:style w:type="paragraph" w:styleId="Piedepgina">
    <w:name w:val="footer"/>
    <w:basedOn w:val="Normal"/>
    <w:link w:val="PiedepginaCar"/>
    <w:uiPriority w:val="99"/>
    <w:unhideWhenUsed/>
    <w:rsid w:val="00151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06"/>
  </w:style>
  <w:style w:type="character" w:styleId="Hipervnculo">
    <w:name w:val="Hyperlink"/>
    <w:basedOn w:val="Fuentedeprrafopredeter"/>
    <w:uiPriority w:val="99"/>
    <w:unhideWhenUsed/>
    <w:rsid w:val="007A55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80FE2"/>
    <w:rPr>
      <w:color w:val="954F72"/>
      <w:u w:val="single"/>
    </w:rPr>
  </w:style>
  <w:style w:type="paragraph" w:customStyle="1" w:styleId="msonormal0">
    <w:name w:val="msonormal"/>
    <w:basedOn w:val="Normal"/>
    <w:rsid w:val="0068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3">
    <w:name w:val="xl63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es-PE"/>
    </w:rPr>
  </w:style>
  <w:style w:type="paragraph" w:customStyle="1" w:styleId="xl64">
    <w:name w:val="xl64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PE"/>
    </w:rPr>
  </w:style>
  <w:style w:type="paragraph" w:customStyle="1" w:styleId="xl65">
    <w:name w:val="xl65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66">
    <w:name w:val="xl66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67">
    <w:name w:val="xl67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68">
    <w:name w:val="xl68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69">
    <w:name w:val="xl69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68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es-PE"/>
    </w:rPr>
  </w:style>
  <w:style w:type="paragraph" w:customStyle="1" w:styleId="xl71">
    <w:name w:val="xl71"/>
    <w:basedOn w:val="Normal"/>
    <w:rsid w:val="00680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es-PE"/>
    </w:rPr>
  </w:style>
  <w:style w:type="paragraph" w:customStyle="1" w:styleId="xl72">
    <w:name w:val="xl72"/>
    <w:basedOn w:val="Normal"/>
    <w:rsid w:val="00680F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73">
    <w:name w:val="xl73"/>
    <w:basedOn w:val="Normal"/>
    <w:rsid w:val="00680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74">
    <w:name w:val="xl74"/>
    <w:basedOn w:val="Normal"/>
    <w:rsid w:val="00680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75">
    <w:name w:val="xl75"/>
    <w:basedOn w:val="Normal"/>
    <w:rsid w:val="00680F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76">
    <w:name w:val="xl76"/>
    <w:basedOn w:val="Normal"/>
    <w:rsid w:val="00680F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es-PE"/>
    </w:rPr>
  </w:style>
  <w:style w:type="paragraph" w:customStyle="1" w:styleId="xl77">
    <w:name w:val="xl77"/>
    <w:basedOn w:val="Normal"/>
    <w:rsid w:val="00680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es-PE"/>
    </w:rPr>
  </w:style>
  <w:style w:type="paragraph" w:customStyle="1" w:styleId="xl78">
    <w:name w:val="xl78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79">
    <w:name w:val="xl79"/>
    <w:basedOn w:val="Normal"/>
    <w:rsid w:val="0068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80">
    <w:name w:val="xl80"/>
    <w:basedOn w:val="Normal"/>
    <w:rsid w:val="00680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es-PE"/>
    </w:rPr>
  </w:style>
  <w:style w:type="paragraph" w:customStyle="1" w:styleId="xl81">
    <w:name w:val="xl81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82">
    <w:name w:val="xl82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83">
    <w:name w:val="xl83"/>
    <w:basedOn w:val="Normal"/>
    <w:rsid w:val="00680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PE"/>
    </w:rPr>
  </w:style>
  <w:style w:type="paragraph" w:customStyle="1" w:styleId="xl84">
    <w:name w:val="xl84"/>
    <w:basedOn w:val="Normal"/>
    <w:rsid w:val="00680F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PE"/>
    </w:rPr>
  </w:style>
  <w:style w:type="paragraph" w:customStyle="1" w:styleId="xl85">
    <w:name w:val="xl85"/>
    <w:basedOn w:val="Normal"/>
    <w:rsid w:val="00680F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PE"/>
    </w:rPr>
  </w:style>
  <w:style w:type="paragraph" w:customStyle="1" w:styleId="xl86">
    <w:name w:val="xl86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es-PE"/>
    </w:rPr>
  </w:style>
  <w:style w:type="paragraph" w:customStyle="1" w:styleId="xl87">
    <w:name w:val="xl87"/>
    <w:basedOn w:val="Normal"/>
    <w:rsid w:val="0068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88">
    <w:name w:val="xl88"/>
    <w:basedOn w:val="Normal"/>
    <w:rsid w:val="00680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paragraph" w:customStyle="1" w:styleId="xl89">
    <w:name w:val="xl89"/>
    <w:basedOn w:val="Normal"/>
    <w:rsid w:val="00680F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8E7485"/>
    <w:rPr>
      <w:rFonts w:ascii="Arial" w:eastAsiaTheme="majorEastAsia" w:hAnsi="Arial" w:cstheme="majorBidi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E7485"/>
    <w:pPr>
      <w:outlineLvl w:val="9"/>
    </w:pPr>
    <w:rPr>
      <w:rFonts w:asciiTheme="majorHAnsi" w:hAnsiTheme="majorHAnsi"/>
      <w:color w:val="2E74B5" w:themeColor="accent1" w:themeShade="BF"/>
      <w:sz w:val="3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8E7485"/>
    <w:pPr>
      <w:spacing w:after="100"/>
    </w:pPr>
  </w:style>
  <w:style w:type="paragraph" w:styleId="Revisin">
    <w:name w:val="Revision"/>
    <w:hidden/>
    <w:uiPriority w:val="99"/>
    <w:semiHidden/>
    <w:rsid w:val="00E83E5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83E55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E83E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E83E55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E83E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242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A65242"/>
    <w:rPr>
      <w:b/>
      <w:bCs/>
      <w:sz w:val="20"/>
      <w:szCs w:val="20"/>
    </w:rPr>
  </w:style>
  <w:style w:type="character" w:customStyle="1" w:styleId="PrrafodelistaCar">
    <w:name w:val="Párrafo de lista Car"/>
    <w:aliases w:val="Fundamentacion Car,Bulleted List Car,Lista vistosa - Énfasis 11 Car,Lista media 2 - Énfasis 41 Car,N° Car,SubPárrafo de lista Car,Cuadro 2-1 Car,Párrafo de lista2 Car,Footnote Car,List Paragraph1 Car,Titulo de Fígura Car,titulo Car"/>
    <w:link w:val="Prrafodelista"/>
    <w:uiPriority w:val="34"/>
    <w:qFormat/>
    <w:locked/>
    <w:rsid w:val="008D6190"/>
  </w:style>
  <w:style w:type="paragraph" w:styleId="Textodeglobo">
    <w:name w:val="Balloon Text"/>
    <w:basedOn w:val="Normal"/>
    <w:link w:val="TextodegloboCar"/>
    <w:uiPriority w:val="99"/>
    <w:semiHidden/>
    <w:unhideWhenUsed/>
    <w:rsid w:val="00B1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estpelmilagro.edu.pe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85EF-6C1A-4B16-AF8E-6BFFA1B1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1798</Words>
  <Characters>9895</Characters>
  <Application>Microsoft Office Word</Application>
  <DocSecurity>4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IESTP EL MILAGRO</cp:lastModifiedBy>
  <cp:revision>2</cp:revision>
  <dcterms:created xsi:type="dcterms:W3CDTF">2024-05-15T18:41:00Z</dcterms:created>
  <dcterms:modified xsi:type="dcterms:W3CDTF">2024-05-15T18:41:00Z</dcterms:modified>
</cp:coreProperties>
</file>